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0" w:lineRule="atLeast"/>
        <w:jc w:val="center"/>
        <w:rPr>
          <w:rFonts w:hint="eastAsia" w:ascii="ＭＳ ゴシック" w:hAnsi="ＭＳ ゴシック" w:eastAsia="ＭＳ ゴシック"/>
          <w:b w:val="1"/>
          <w:color w:val="auto"/>
          <w:sz w:val="32"/>
        </w:rPr>
      </w:pPr>
      <w:r>
        <w:rPr>
          <w:rFonts w:hint="eastAsia" w:ascii="ＭＳ ゴシック" w:hAnsi="ＭＳ ゴシック" w:eastAsia="ＭＳ ゴシック"/>
          <w:b w:val="1"/>
          <w:color w:val="auto"/>
          <w:sz w:val="32"/>
        </w:rPr>
        <w:t>令和７年度地域密着型サービス整備運営事業者募集要項</w:t>
      </w:r>
    </w:p>
    <w:p>
      <w:pPr>
        <w:pStyle w:val="0"/>
        <w:spacing w:line="0" w:lineRule="atLeast"/>
        <w:jc w:val="center"/>
        <w:rPr>
          <w:rFonts w:hint="eastAsia" w:ascii="ＭＳ ゴシック" w:hAnsi="ＭＳ ゴシック" w:eastAsia="ＭＳ ゴシック"/>
          <w:b w:val="1"/>
          <w:color w:val="auto"/>
          <w:sz w:val="32"/>
        </w:rPr>
      </w:pPr>
      <w:r>
        <w:rPr>
          <w:rFonts w:hint="eastAsia" w:ascii="ＭＳ ゴシック" w:hAnsi="ＭＳ ゴシック" w:eastAsia="ＭＳ ゴシック"/>
          <w:b w:val="1"/>
          <w:color w:val="auto"/>
          <w:sz w:val="32"/>
        </w:rPr>
        <w:t>（定期巡回・随時対応型訪問介護看護）</w:t>
      </w:r>
    </w:p>
    <w:p>
      <w:pPr>
        <w:pStyle w:val="0"/>
        <w:rPr>
          <w:rFonts w:hint="eastAsia" w:ascii="ＭＳ ゴシック" w:hAnsi="ＭＳ ゴシック" w:eastAsia="ＭＳ ゴシック"/>
          <w:color w:val="auto"/>
        </w:rPr>
      </w:pPr>
    </w:p>
    <w:p>
      <w:pPr>
        <w:pStyle w:val="0"/>
        <w:rPr>
          <w:rFonts w:hint="eastAsia" w:ascii="ＭＳ ゴシック" w:hAnsi="ＭＳ ゴシック" w:eastAsia="ＭＳ ゴシック"/>
          <w:b w:val="1"/>
          <w:color w:val="auto"/>
        </w:rPr>
      </w:pPr>
      <w:r>
        <w:rPr>
          <w:rFonts w:hint="eastAsia" w:ascii="ＭＳ ゴシック" w:hAnsi="ＭＳ ゴシック" w:eastAsia="ＭＳ ゴシック"/>
          <w:b w:val="1"/>
          <w:color w:val="auto"/>
        </w:rPr>
        <w:t>１　募集の趣旨</w:t>
      </w:r>
    </w:p>
    <w:p>
      <w:pPr>
        <w:pStyle w:val="0"/>
        <w:ind w:left="210" w:leftChars="100" w:firstLine="210" w:firstLineChars="100"/>
        <w:rPr>
          <w:rFonts w:hint="eastAsia" w:ascii="ＭＳ ゴシック" w:hAnsi="ＭＳ ゴシック" w:eastAsia="ＭＳ ゴシック"/>
          <w:color w:val="auto"/>
        </w:rPr>
      </w:pPr>
      <w:r>
        <w:rPr>
          <w:rFonts w:hint="eastAsia" w:ascii="ＭＳ ゴシック" w:hAnsi="ＭＳ ゴシック" w:eastAsia="ＭＳ ゴシック"/>
          <w:color w:val="auto"/>
        </w:rPr>
        <w:t>廿日市市では、高齢者が介護を必要とする状態になっても、住み慣れた地域で安心して暮らせるよう、第９期介護保険事業計画（令和６年度～８年度）に基づき、地域密着型サービスを計画的に整備します。</w:t>
      </w:r>
    </w:p>
    <w:p>
      <w:pPr>
        <w:pStyle w:val="0"/>
        <w:ind w:left="210" w:leftChars="100" w:firstLine="210" w:firstLineChars="100"/>
        <w:rPr>
          <w:rFonts w:hint="eastAsia" w:ascii="ＭＳ ゴシック" w:hAnsi="ＭＳ ゴシック" w:eastAsia="ＭＳ ゴシック"/>
          <w:color w:val="auto"/>
        </w:rPr>
      </w:pPr>
      <w:r>
        <w:rPr>
          <w:rFonts w:hint="eastAsia" w:ascii="ＭＳ ゴシック" w:hAnsi="ＭＳ ゴシック" w:eastAsia="ＭＳ ゴシック"/>
          <w:color w:val="auto"/>
        </w:rPr>
        <w:t>廿日市市では、定期巡回・随時対応型訪問介護看護について、今後高齢化が一層進展する中、高齢者の在宅生活継続のために必要不可欠なサービスと考えています。</w:t>
      </w:r>
    </w:p>
    <w:p>
      <w:pPr>
        <w:pStyle w:val="0"/>
        <w:ind w:left="210" w:leftChars="100" w:firstLine="210" w:firstLineChars="100"/>
        <w:rPr>
          <w:rFonts w:hint="eastAsia" w:ascii="ＭＳ ゴシック" w:hAnsi="ＭＳ ゴシック" w:eastAsia="ＭＳ ゴシック"/>
          <w:color w:val="auto"/>
        </w:rPr>
      </w:pPr>
      <w:r>
        <w:rPr>
          <w:rFonts w:hint="eastAsia" w:ascii="ＭＳ ゴシック" w:hAnsi="ＭＳ ゴシック" w:eastAsia="ＭＳ ゴシック"/>
          <w:color w:val="auto"/>
        </w:rPr>
        <w:t>この募集は、当サービスを設置運営する事業者（以下「</w:t>
      </w:r>
      <w:r>
        <w:rPr>
          <w:rFonts w:hint="eastAsia" w:ascii="ＭＳ ゴシック" w:hAnsi="ＭＳ ゴシック" w:eastAsia="ＭＳ ゴシック"/>
          <w:color w:val="auto"/>
          <w:highlight w:val="none"/>
        </w:rPr>
        <w:t>整備運営事業者</w:t>
      </w:r>
      <w:r>
        <w:rPr>
          <w:rFonts w:hint="eastAsia" w:ascii="ＭＳ ゴシック" w:hAnsi="ＭＳ ゴシック" w:eastAsia="ＭＳ ゴシック"/>
          <w:color w:val="auto"/>
        </w:rPr>
        <w:t>」という。）を選定するために行うものです。</w:t>
      </w:r>
    </w:p>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　</w:t>
      </w:r>
    </w:p>
    <w:p>
      <w:pPr>
        <w:pStyle w:val="0"/>
        <w:rPr>
          <w:rFonts w:hint="eastAsia" w:ascii="ＭＳ ゴシック" w:hAnsi="ＭＳ ゴシック" w:eastAsia="ＭＳ ゴシック"/>
          <w:b w:val="1"/>
          <w:color w:val="auto"/>
        </w:rPr>
      </w:pPr>
      <w:r>
        <w:rPr>
          <w:rFonts w:hint="eastAsia" w:ascii="ＭＳ ゴシック" w:hAnsi="ＭＳ ゴシック" w:eastAsia="ＭＳ ゴシック"/>
          <w:b w:val="1"/>
          <w:color w:val="auto"/>
        </w:rPr>
        <w:t>２　募集する事業及び募集数</w:t>
      </w:r>
    </w:p>
    <w:tbl>
      <w:tblPr>
        <w:tblStyle w:val="44"/>
        <w:tblW w:w="0" w:type="auto"/>
        <w:tblInd w:w="415" w:type="dxa"/>
        <w:tblLayout w:type="fixed"/>
        <w:tblLook w:firstRow="1" w:lastRow="0" w:firstColumn="1" w:lastColumn="0" w:noHBand="0" w:noVBand="1" w:val="04A0"/>
      </w:tblPr>
      <w:tblGrid>
        <w:gridCol w:w="3780"/>
        <w:gridCol w:w="1890"/>
        <w:gridCol w:w="1470"/>
        <w:gridCol w:w="1680"/>
      </w:tblGrid>
      <w:tr>
        <w:trPr/>
        <w:tc>
          <w:tcPr>
            <w:tcW w:w="3780" w:type="dxa"/>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募集する事業</w:t>
            </w:r>
          </w:p>
        </w:tc>
        <w:tc>
          <w:tcPr>
            <w:tcW w:w="1890" w:type="dxa"/>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募集圏域</w:t>
            </w:r>
          </w:p>
        </w:tc>
        <w:tc>
          <w:tcPr>
            <w:tcW w:w="1470"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募集箇所数</w:t>
            </w:r>
          </w:p>
        </w:tc>
        <w:tc>
          <w:tcPr>
            <w:tcW w:w="1680"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開設時期</w:t>
            </w:r>
          </w:p>
        </w:tc>
      </w:tr>
      <w:tr>
        <w:trPr>
          <w:trHeight w:val="1170" w:hRule="atLeast"/>
        </w:trPr>
        <w:tc>
          <w:tcPr>
            <w:tcW w:w="3780" w:type="dxa"/>
            <w:vAlign w:val="center"/>
          </w:tcPr>
          <w:p>
            <w:pPr>
              <w:pStyle w:val="0"/>
              <w:jc w:val="center"/>
              <w:rPr>
                <w:rFonts w:hint="eastAsia" w:ascii="ＭＳ ゴシック" w:hAnsi="ＭＳ ゴシック" w:eastAsia="ＭＳ ゴシック"/>
              </w:rPr>
            </w:pPr>
            <w:r>
              <w:rPr>
                <w:rFonts w:hint="eastAsia" w:ascii="ＭＳ ゴシック" w:hAnsi="ＭＳ ゴシック" w:eastAsia="ＭＳ ゴシック"/>
                <w:color w:val="auto"/>
              </w:rPr>
              <w:t>定期巡回・随時対応型訪問介護看護</w:t>
            </w:r>
          </w:p>
          <w:p>
            <w:pPr>
              <w:pStyle w:val="0"/>
              <w:jc w:val="center"/>
              <w:rPr>
                <w:rFonts w:hint="eastAsia" w:ascii="ＭＳ ゴシック" w:hAnsi="ＭＳ ゴシック" w:eastAsia="ＭＳ ゴシック"/>
              </w:rPr>
            </w:pPr>
            <w:r>
              <w:rPr>
                <w:rFonts w:hint="eastAsia" w:ascii="ＭＳ ゴシック" w:hAnsi="ＭＳ ゴシック" w:eastAsia="ＭＳ ゴシック"/>
                <w:color w:val="auto"/>
              </w:rPr>
              <w:t>※一体型と連携型どちらも可</w:t>
            </w:r>
          </w:p>
        </w:tc>
        <w:tc>
          <w:tcPr>
            <w:tcW w:w="1890" w:type="dxa"/>
            <w:vAlign w:val="center"/>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廿日市東部圏域</w:t>
            </w:r>
          </w:p>
          <w:p>
            <w:pPr>
              <w:pStyle w:val="0"/>
              <w:jc w:val="center"/>
              <w:rPr>
                <w:rFonts w:hint="eastAsia" w:ascii="ＭＳ ゴシック" w:hAnsi="ＭＳ ゴシック" w:eastAsia="ＭＳ ゴシック"/>
              </w:rPr>
            </w:pPr>
            <w:r>
              <w:rPr>
                <w:rFonts w:hint="eastAsia" w:ascii="ＭＳ ゴシック" w:hAnsi="ＭＳ ゴシック" w:eastAsia="ＭＳ ゴシック"/>
              </w:rPr>
              <w:t>廿日市西部圏域</w:t>
            </w:r>
          </w:p>
        </w:tc>
        <w:tc>
          <w:tcPr>
            <w:tcW w:w="1470"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eastAsia" w:ascii="ＭＳ ゴシック" w:hAnsi="ＭＳ ゴシック" w:eastAsia="ＭＳ ゴシック"/>
                <w:color w:val="auto"/>
                <w:u w:val="double" w:color="auto"/>
              </w:rPr>
            </w:pPr>
            <w:r>
              <w:rPr>
                <w:rFonts w:hint="eastAsia" w:ascii="ＭＳ ゴシック" w:hAnsi="ＭＳ ゴシック" w:eastAsia="ＭＳ ゴシック"/>
                <w:color w:val="auto"/>
                <w:u w:val="double" w:color="auto"/>
              </w:rPr>
              <w:t>いずれか</w:t>
            </w:r>
          </w:p>
          <w:p>
            <w:pPr>
              <w:pStyle w:val="0"/>
              <w:jc w:val="center"/>
              <w:rPr>
                <w:rFonts w:hint="eastAsia" w:ascii="ＭＳ ゴシック" w:hAnsi="ＭＳ ゴシック" w:eastAsia="ＭＳ ゴシック"/>
                <w:color w:val="auto"/>
              </w:rPr>
            </w:pPr>
            <w:r>
              <w:rPr>
                <w:rFonts w:hint="eastAsia" w:ascii="ＭＳ ゴシック" w:hAnsi="ＭＳ ゴシック" w:eastAsia="ＭＳ ゴシック"/>
                <w:color w:val="auto"/>
                <w:u w:val="double" w:color="auto"/>
              </w:rPr>
              <w:t>１事業所</w:t>
            </w:r>
          </w:p>
        </w:tc>
        <w:tc>
          <w:tcPr>
            <w:tcW w:w="1680"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ゴシック" w:hAnsi="ＭＳ ゴシック" w:eastAsia="ＭＳ ゴシック"/>
                <w:color w:val="auto"/>
              </w:rPr>
            </w:pPr>
            <w:r>
              <w:rPr>
                <w:rFonts w:hint="eastAsia" w:ascii="ＭＳ ゴシック" w:hAnsi="ＭＳ ゴシック" w:eastAsia="ＭＳ ゴシック"/>
                <w:color w:val="auto"/>
              </w:rPr>
              <w:t>令和８年</w:t>
            </w:r>
          </w:p>
          <w:p>
            <w:pPr>
              <w:pStyle w:val="0"/>
              <w:jc w:val="center"/>
              <w:rPr>
                <w:rFonts w:hint="eastAsia" w:ascii="ＭＳ ゴシック" w:hAnsi="ＭＳ ゴシック" w:eastAsia="ＭＳ ゴシック"/>
                <w:color w:val="auto"/>
              </w:rPr>
            </w:pPr>
            <w:r>
              <w:rPr>
                <w:rFonts w:hint="eastAsia" w:ascii="ＭＳ ゴシック" w:hAnsi="ＭＳ ゴシック" w:eastAsia="ＭＳ ゴシック"/>
                <w:color w:val="auto"/>
              </w:rPr>
              <w:t>４月１日</w:t>
            </w:r>
          </w:p>
          <w:p>
            <w:pPr>
              <w:pStyle w:val="0"/>
              <w:jc w:val="center"/>
              <w:rPr>
                <w:rFonts w:hint="eastAsia" w:ascii="ＭＳ ゴシック" w:hAnsi="ＭＳ ゴシック" w:eastAsia="ＭＳ ゴシック"/>
                <w:color w:val="auto"/>
              </w:rPr>
            </w:pPr>
            <w:r>
              <w:rPr>
                <w:rFonts w:hint="eastAsia" w:ascii="ＭＳ ゴシック" w:hAnsi="ＭＳ ゴシック" w:eastAsia="ＭＳ ゴシック"/>
                <w:color w:val="auto"/>
              </w:rPr>
              <w:t>までに開設</w:t>
            </w:r>
          </w:p>
        </w:tc>
      </w:tr>
    </w:tbl>
    <w:p>
      <w:pPr>
        <w:pStyle w:val="0"/>
        <w:rPr>
          <w:rFonts w:hint="eastAsia" w:ascii="ＭＳ ゴシック" w:hAnsi="ＭＳ ゴシック" w:eastAsia="ＭＳ ゴシック"/>
          <w:b w:val="1"/>
          <w:color w:val="auto"/>
        </w:rPr>
      </w:pPr>
    </w:p>
    <w:tbl>
      <w:tblPr>
        <w:tblStyle w:val="44"/>
        <w:tblW w:w="0" w:type="auto"/>
        <w:tblInd w:w="415" w:type="dxa"/>
        <w:tblLayout w:type="fixed"/>
        <w:tblLook w:firstRow="1" w:lastRow="0" w:firstColumn="1" w:lastColumn="0" w:noHBand="0" w:noVBand="1" w:val="04A0"/>
      </w:tblPr>
      <w:tblGrid>
        <w:gridCol w:w="1680"/>
        <w:gridCol w:w="7140"/>
      </w:tblGrid>
      <w:tr>
        <w:trPr/>
        <w:tc>
          <w:tcPr>
            <w:tcW w:w="1680" w:type="dxa"/>
            <w:vAlign w:val="top"/>
          </w:tcPr>
          <w:p>
            <w:pPr>
              <w:pStyle w:val="0"/>
              <w:jc w:val="center"/>
              <w:rPr>
                <w:rFonts w:hint="eastAsia" w:ascii="ＭＳ ゴシック" w:hAnsi="ＭＳ ゴシック" w:eastAsia="ＭＳ ゴシック"/>
                <w:color w:val="auto"/>
              </w:rPr>
            </w:pPr>
            <w:r>
              <w:rPr>
                <w:rFonts w:hint="eastAsia" w:ascii="ＭＳ ゴシック" w:hAnsi="ＭＳ ゴシック" w:eastAsia="ＭＳ ゴシック"/>
                <w:color w:val="auto"/>
              </w:rPr>
              <w:t>日常生活圏域</w:t>
            </w:r>
          </w:p>
        </w:tc>
        <w:tc>
          <w:tcPr>
            <w:tcW w:w="7140" w:type="dxa"/>
            <w:vAlign w:val="top"/>
          </w:tcPr>
          <w:p>
            <w:pPr>
              <w:pStyle w:val="0"/>
              <w:jc w:val="center"/>
              <w:rPr>
                <w:rFonts w:hint="eastAsia" w:ascii="ＭＳ ゴシック" w:hAnsi="ＭＳ ゴシック" w:eastAsia="ＭＳ ゴシック"/>
                <w:color w:val="auto"/>
              </w:rPr>
            </w:pPr>
            <w:r>
              <w:rPr>
                <w:rFonts w:hint="eastAsia" w:ascii="ＭＳ ゴシック" w:hAnsi="ＭＳ ゴシック" w:eastAsia="ＭＳ ゴシック"/>
                <w:color w:val="auto"/>
              </w:rPr>
              <w:t>住　　所</w:t>
            </w:r>
          </w:p>
        </w:tc>
      </w:tr>
      <w:tr>
        <w:trPr/>
        <w:tc>
          <w:tcPr>
            <w:tcW w:w="1680" w:type="dxa"/>
            <w:vAlign w:val="top"/>
          </w:tcPr>
          <w:p>
            <w:pPr>
              <w:pStyle w:val="0"/>
              <w:jc w:val="center"/>
              <w:rPr>
                <w:rFonts w:hint="eastAsia" w:ascii="ＭＳ ゴシック" w:hAnsi="ＭＳ ゴシック" w:eastAsia="ＭＳ ゴシック"/>
                <w:color w:val="auto"/>
              </w:rPr>
            </w:pPr>
            <w:r>
              <w:rPr>
                <w:rFonts w:hint="eastAsia" w:ascii="ＭＳ ゴシック" w:hAnsi="ＭＳ ゴシック" w:eastAsia="ＭＳ ゴシック"/>
              </w:rPr>
              <w:t>廿日市東部</w:t>
            </w:r>
          </w:p>
        </w:tc>
        <w:tc>
          <w:tcPr>
            <w:tcW w:w="7140" w:type="dxa"/>
            <w:vAlign w:val="top"/>
          </w:tcPr>
          <w:p>
            <w:pPr>
              <w:pStyle w:val="0"/>
              <w:jc w:val="left"/>
              <w:rPr>
                <w:rFonts w:hint="eastAsia" w:ascii="ＭＳ ゴシック" w:hAnsi="ＭＳ ゴシック" w:eastAsia="ＭＳ ゴシック"/>
                <w:color w:val="auto"/>
              </w:rPr>
            </w:pPr>
            <w:r>
              <w:rPr>
                <w:rFonts w:hint="eastAsia" w:ascii="ＭＳ ゴシック" w:hAnsi="ＭＳ ゴシック" w:eastAsia="ＭＳ ゴシック"/>
                <w:color w:val="auto"/>
              </w:rPr>
              <w:t>駅前、大東、可愛、佐方本町、桜尾、桜尾本町、須賀、住吉、天神、</w:t>
            </w:r>
          </w:p>
          <w:p>
            <w:pPr>
              <w:pStyle w:val="0"/>
              <w:jc w:val="left"/>
              <w:rPr>
                <w:rFonts w:hint="eastAsia" w:ascii="ＭＳ ゴシック" w:hAnsi="ＭＳ ゴシック" w:eastAsia="ＭＳ ゴシック"/>
                <w:color w:val="auto"/>
              </w:rPr>
            </w:pPr>
            <w:r>
              <w:rPr>
                <w:rFonts w:hint="eastAsia" w:ascii="ＭＳ ゴシック" w:hAnsi="ＭＳ ゴシック" w:eastAsia="ＭＳ ゴシック"/>
                <w:color w:val="auto"/>
              </w:rPr>
              <w:t>廿日市、本町、木材港北、木材港南、佐方、山陽園、城内、平良山手、上平良、下平良、新宮、平良、宮内</w:t>
            </w:r>
            <w:r>
              <w:rPr>
                <w:rFonts w:hint="eastAsia" w:ascii="ＭＳ ゴシック" w:hAnsi="ＭＳ ゴシック" w:eastAsia="ＭＳ ゴシック"/>
                <w:color w:val="auto"/>
              </w:rPr>
              <w:t>73</w:t>
            </w:r>
            <w:r>
              <w:rPr>
                <w:rFonts w:hint="eastAsia" w:ascii="ＭＳ ゴシック" w:hAnsi="ＭＳ ゴシック" w:eastAsia="ＭＳ ゴシック"/>
                <w:color w:val="auto"/>
              </w:rPr>
              <w:t>番地・</w:t>
            </w:r>
            <w:r>
              <w:rPr>
                <w:rFonts w:hint="eastAsia" w:ascii="ＭＳ ゴシック" w:hAnsi="ＭＳ ゴシック" w:eastAsia="ＭＳ ゴシック"/>
                <w:color w:val="auto"/>
              </w:rPr>
              <w:t>76</w:t>
            </w:r>
            <w:r>
              <w:rPr>
                <w:rFonts w:hint="eastAsia" w:ascii="ＭＳ ゴシック" w:hAnsi="ＭＳ ゴシック" w:eastAsia="ＭＳ ゴシック"/>
                <w:color w:val="auto"/>
              </w:rPr>
              <w:t>番地及び</w:t>
            </w:r>
            <w:r>
              <w:rPr>
                <w:rFonts w:hint="eastAsia" w:ascii="ＭＳ ゴシック" w:hAnsi="ＭＳ ゴシック" w:eastAsia="ＭＳ ゴシック"/>
                <w:color w:val="auto"/>
              </w:rPr>
              <w:t>94</w:t>
            </w:r>
            <w:r>
              <w:rPr>
                <w:rFonts w:hint="eastAsia" w:ascii="ＭＳ ゴシック" w:hAnsi="ＭＳ ゴシック" w:eastAsia="ＭＳ ゴシック"/>
                <w:color w:val="auto"/>
              </w:rPr>
              <w:t>番地、</w:t>
            </w:r>
          </w:p>
          <w:p>
            <w:pPr>
              <w:pStyle w:val="0"/>
              <w:jc w:val="left"/>
              <w:rPr>
                <w:rFonts w:hint="eastAsia" w:ascii="ＭＳ ゴシック" w:hAnsi="ＭＳ ゴシック" w:eastAsia="ＭＳ ゴシック"/>
                <w:color w:val="auto"/>
              </w:rPr>
            </w:pPr>
            <w:r>
              <w:rPr>
                <w:rFonts w:hint="eastAsia" w:ascii="ＭＳ ゴシック" w:hAnsi="ＭＳ ゴシック" w:eastAsia="ＭＳ ゴシック"/>
                <w:color w:val="auto"/>
              </w:rPr>
              <w:t>陽光台、原</w:t>
            </w:r>
          </w:p>
        </w:tc>
      </w:tr>
      <w:tr>
        <w:trPr/>
        <w:tc>
          <w:tcPr>
            <w:tcW w:w="1680" w:type="dxa"/>
            <w:vAlign w:val="top"/>
          </w:tcPr>
          <w:p>
            <w:pPr>
              <w:pStyle w:val="0"/>
              <w:jc w:val="center"/>
              <w:rPr>
                <w:rFonts w:hint="eastAsia" w:ascii="ＭＳ ゴシック" w:hAnsi="ＭＳ ゴシック" w:eastAsia="ＭＳ ゴシック"/>
                <w:color w:val="auto"/>
              </w:rPr>
            </w:pPr>
            <w:r>
              <w:rPr>
                <w:rFonts w:hint="eastAsia" w:ascii="ＭＳ ゴシック" w:hAnsi="ＭＳ ゴシック" w:eastAsia="ＭＳ ゴシック"/>
              </w:rPr>
              <w:t>廿日市西部</w:t>
            </w:r>
          </w:p>
        </w:tc>
        <w:tc>
          <w:tcPr>
            <w:tcW w:w="7140" w:type="dxa"/>
            <w:vAlign w:val="top"/>
          </w:tcPr>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地御前</w:t>
            </w:r>
            <w:r>
              <w:rPr>
                <w:rFonts w:hint="eastAsia" w:ascii="ＭＳ ゴシック" w:hAnsi="ＭＳ ゴシック" w:eastAsia="ＭＳ ゴシック"/>
                <w:color w:val="auto"/>
              </w:rPr>
              <w:t>(</w:t>
            </w:r>
            <w:r>
              <w:rPr>
                <w:rFonts w:hint="eastAsia" w:ascii="ＭＳ ゴシック" w:hAnsi="ＭＳ ゴシック" w:eastAsia="ＭＳ ゴシック"/>
                <w:color w:val="auto"/>
              </w:rPr>
              <w:t>地御前二丁目</w:t>
            </w:r>
            <w:r>
              <w:rPr>
                <w:rFonts w:hint="eastAsia" w:ascii="ＭＳ ゴシック" w:hAnsi="ＭＳ ゴシック" w:eastAsia="ＭＳ ゴシック"/>
                <w:color w:val="auto"/>
              </w:rPr>
              <w:t>22</w:t>
            </w:r>
            <w:r>
              <w:rPr>
                <w:rFonts w:hint="eastAsia" w:ascii="ＭＳ ゴシック" w:hAnsi="ＭＳ ゴシック" w:eastAsia="ＭＳ ゴシック"/>
                <w:color w:val="auto"/>
              </w:rPr>
              <w:t>番から</w:t>
            </w:r>
            <w:r>
              <w:rPr>
                <w:rFonts w:hint="eastAsia" w:ascii="ＭＳ ゴシック" w:hAnsi="ＭＳ ゴシック" w:eastAsia="ＭＳ ゴシック"/>
                <w:color w:val="auto"/>
              </w:rPr>
              <w:t>29</w:t>
            </w:r>
            <w:r>
              <w:rPr>
                <w:rFonts w:hint="eastAsia" w:ascii="ＭＳ ゴシック" w:hAnsi="ＭＳ ゴシック" w:eastAsia="ＭＳ ゴシック"/>
                <w:color w:val="auto"/>
              </w:rPr>
              <w:t>番までを除く。</w:t>
            </w:r>
            <w:r>
              <w:rPr>
                <w:rFonts w:hint="eastAsia" w:ascii="ＭＳ ゴシック" w:hAnsi="ＭＳ ゴシック" w:eastAsia="ＭＳ ゴシック"/>
                <w:color w:val="auto"/>
              </w:rPr>
              <w:t>)</w:t>
            </w:r>
            <w:r>
              <w:rPr>
                <w:rFonts w:hint="eastAsia" w:ascii="ＭＳ ゴシック" w:hAnsi="ＭＳ ゴシック" w:eastAsia="ＭＳ ゴシック"/>
                <w:color w:val="auto"/>
              </w:rPr>
              <w:t>、地御前北、阿品、</w:t>
            </w:r>
          </w:p>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阿品台、阿品台北、阿品台東、阿品台西、阿品台山の手</w:t>
            </w:r>
          </w:p>
        </w:tc>
      </w:tr>
    </w:tbl>
    <w:p>
      <w:pPr>
        <w:pStyle w:val="0"/>
        <w:tabs>
          <w:tab w:val="left" w:leader="none" w:pos="420"/>
        </w:tabs>
        <w:rPr>
          <w:rFonts w:hint="eastAsia" w:ascii="ＭＳ ゴシック" w:hAnsi="ＭＳ ゴシック" w:eastAsia="ＭＳ ゴシック"/>
          <w:b w:val="1"/>
          <w:color w:val="auto"/>
        </w:rPr>
      </w:pPr>
      <w:r>
        <w:rPr>
          <w:rFonts w:hint="eastAsia" w:ascii="ＭＳ ゴシック" w:hAnsi="ＭＳ ゴシック" w:eastAsia="ＭＳ ゴシック"/>
          <w:b w:val="1"/>
          <w:color w:val="auto"/>
        </w:rPr>
        <w:t>　　</w:t>
      </w:r>
    </w:p>
    <w:p>
      <w:pPr>
        <w:pStyle w:val="0"/>
        <w:tabs>
          <w:tab w:val="left" w:leader="none" w:pos="420"/>
        </w:tabs>
        <w:rPr>
          <w:rFonts w:hint="eastAsia" w:ascii="ＭＳ ゴシック" w:hAnsi="ＭＳ ゴシック" w:eastAsia="ＭＳ ゴシック"/>
          <w:b w:val="1"/>
          <w:color w:val="auto"/>
        </w:rPr>
      </w:pPr>
      <w:r>
        <w:rPr>
          <w:rFonts w:hint="eastAsia" w:ascii="ＭＳ ゴシック" w:hAnsi="ＭＳ ゴシック" w:eastAsia="ＭＳ ゴシック"/>
          <w:b w:val="1"/>
          <w:color w:val="auto"/>
        </w:rPr>
        <w:t>３　応募要件</w:t>
      </w:r>
    </w:p>
    <w:p>
      <w:pPr>
        <w:pStyle w:val="0"/>
        <w:ind w:leftChars="0" w:hanging="210" w:hangingChars="100"/>
        <w:rPr>
          <w:rFonts w:hint="eastAsia" w:ascii="ＭＳ ゴシック" w:hAnsi="ＭＳ ゴシック" w:eastAsia="ＭＳ ゴシック"/>
          <w:b w:val="1"/>
          <w:color w:val="auto"/>
        </w:rPr>
      </w:pPr>
      <w:r>
        <w:rPr>
          <w:rFonts w:hint="eastAsia" w:ascii="ＭＳ ゴシック" w:hAnsi="ＭＳ ゴシック" w:eastAsia="ＭＳ ゴシック"/>
          <w:b w:val="1"/>
          <w:color w:val="auto"/>
        </w:rPr>
        <w:t>　　</w:t>
      </w:r>
      <w:r>
        <w:rPr>
          <w:rFonts w:hint="eastAsia" w:ascii="ＭＳ ゴシック" w:hAnsi="ＭＳ ゴシック" w:eastAsia="ＭＳ ゴシック"/>
          <w:b w:val="0"/>
          <w:color w:val="auto"/>
        </w:rPr>
        <w:t>次の全ての要件を満たしていることが条件です。全てを満たしていない場合は欠格となり、選定の対象外となります。</w:t>
      </w:r>
    </w:p>
    <w:p>
      <w:pPr>
        <w:pStyle w:val="0"/>
        <w:tabs>
          <w:tab w:val="left" w:leader="none" w:pos="630"/>
        </w:tabs>
        <w:ind w:leftChars="0" w:hanging="420" w:hangingChars="200"/>
        <w:rPr>
          <w:rFonts w:hint="eastAsia" w:ascii="ＭＳ ゴシック" w:hAnsi="ＭＳ ゴシック" w:eastAsia="ＭＳ ゴシック"/>
          <w:b w:val="0"/>
          <w:color w:val="auto"/>
        </w:rPr>
      </w:pPr>
      <w:r>
        <w:rPr>
          <w:rFonts w:hint="eastAsia" w:ascii="ＭＳ ゴシック" w:hAnsi="ＭＳ ゴシック" w:eastAsia="ＭＳ ゴシック"/>
          <w:b w:val="0"/>
          <w:color w:val="auto"/>
        </w:rPr>
        <w:t xml:space="preserve"> (1)</w:t>
      </w:r>
      <w:r>
        <w:rPr>
          <w:rFonts w:hint="eastAsia" w:ascii="ＭＳ ゴシック" w:hAnsi="ＭＳ ゴシック" w:eastAsia="ＭＳ ゴシック"/>
          <w:b w:val="0"/>
          <w:color w:val="auto"/>
        </w:rPr>
        <w:t>　介護保険法第７８条の２第４項各号及び第１１５条の１２第２項各号に該当しない法人に限ります</w:t>
      </w:r>
      <w:r>
        <w:rPr>
          <w:rFonts w:hint="eastAsia" w:ascii="ＭＳ ゴシック" w:hAnsi="ＭＳ ゴシック" w:eastAsia="ＭＳ ゴシック"/>
          <w:b w:val="0"/>
          <w:color w:val="auto"/>
        </w:rPr>
        <w:t xml:space="preserve"> </w:t>
      </w:r>
      <w:r>
        <w:rPr>
          <w:rFonts w:hint="eastAsia" w:ascii="ＭＳ ゴシック" w:hAnsi="ＭＳ ゴシック" w:eastAsia="ＭＳ ゴシック"/>
          <w:b w:val="0"/>
          <w:color w:val="auto"/>
        </w:rPr>
        <w:t>。</w:t>
      </w:r>
    </w:p>
    <w:p>
      <w:pPr>
        <w:pStyle w:val="0"/>
        <w:ind w:leftChars="0" w:hanging="420" w:hangingChars="200"/>
        <w:rPr>
          <w:rFonts w:hint="eastAsia" w:ascii="ＭＳ ゴシック" w:hAnsi="ＭＳ ゴシック" w:eastAsia="ＭＳ ゴシック"/>
          <w:b w:val="0"/>
          <w:color w:val="auto"/>
        </w:rPr>
      </w:pPr>
      <w:r>
        <w:rPr>
          <w:rFonts w:hint="eastAsia" w:ascii="ＭＳ ゴシック" w:hAnsi="ＭＳ ゴシック" w:eastAsia="ＭＳ ゴシック"/>
          <w:b w:val="0"/>
          <w:color w:val="auto"/>
        </w:rPr>
        <w:t xml:space="preserve"> (2)</w:t>
      </w:r>
      <w:r>
        <w:rPr>
          <w:rFonts w:hint="eastAsia" w:ascii="ＭＳ ゴシック" w:hAnsi="ＭＳ ゴシック" w:eastAsia="ＭＳ ゴシック"/>
          <w:b w:val="0"/>
          <w:color w:val="auto"/>
        </w:rPr>
        <w:t>　廿日市市指定地域密着型サービスの事業の人員、設備及び運営に関する基準を定める条例（平成２４年条例第２７号）等介護保険関係の基準等を満たし、その他関連する法令等にも適合しているものに限ります。</w:t>
      </w:r>
    </w:p>
    <w:p>
      <w:pPr>
        <w:pStyle w:val="0"/>
        <w:ind w:leftChars="0" w:hanging="420" w:hangingChars="200"/>
        <w:rPr>
          <w:rFonts w:hint="eastAsia" w:ascii="ＭＳ ゴシック" w:hAnsi="ＭＳ ゴシック" w:eastAsia="ＭＳ ゴシック"/>
          <w:b w:val="0"/>
          <w:color w:val="auto"/>
        </w:rPr>
      </w:pPr>
      <w:r>
        <w:rPr>
          <w:rFonts w:hint="eastAsia" w:ascii="ＭＳ ゴシック" w:hAnsi="ＭＳ ゴシック" w:eastAsia="ＭＳ ゴシック"/>
          <w:b w:val="0"/>
          <w:color w:val="auto"/>
        </w:rPr>
        <w:t xml:space="preserve"> (3)</w:t>
      </w:r>
      <w:r>
        <w:rPr>
          <w:rFonts w:hint="eastAsia" w:ascii="ＭＳ ゴシック" w:hAnsi="ＭＳ ゴシック" w:eastAsia="ＭＳ ゴシック"/>
          <w:b w:val="0"/>
          <w:color w:val="auto"/>
        </w:rPr>
        <w:t>　同法人（事業所）で施設の整備及び事業の運営を行ってください。（以下「整備運営事業者」という。）</w:t>
      </w:r>
    </w:p>
    <w:p>
      <w:pPr>
        <w:pStyle w:val="0"/>
        <w:ind w:left="0" w:leftChars="0" w:firstLine="105" w:firstLineChars="50"/>
        <w:rPr>
          <w:rFonts w:hint="eastAsia" w:ascii="ＭＳ ゴシック" w:hAnsi="ＭＳ ゴシック" w:eastAsia="ＭＳ ゴシック"/>
          <w:color w:val="auto"/>
        </w:rPr>
      </w:pPr>
      <w:r>
        <w:rPr>
          <w:rFonts w:hint="eastAsia" w:ascii="ＭＳ ゴシック" w:hAnsi="ＭＳ ゴシック" w:eastAsia="ＭＳ ゴシック"/>
          <w:color w:val="auto"/>
        </w:rPr>
        <w:t>(4)</w:t>
      </w:r>
      <w:r>
        <w:rPr>
          <w:rFonts w:hint="eastAsia" w:ascii="ＭＳ ゴシック" w:hAnsi="ＭＳ ゴシック" w:eastAsia="ＭＳ ゴシック"/>
          <w:color w:val="auto"/>
        </w:rPr>
        <w:t>　次の事項に該当している場合も応募の対象外です。</w:t>
      </w:r>
    </w:p>
    <w:p>
      <w:pPr>
        <w:pStyle w:val="0"/>
        <w:ind w:firstLine="440" w:firstLineChars="200"/>
        <w:rPr>
          <w:rFonts w:hint="eastAsia" w:ascii="ＭＳ ゴシック" w:hAnsi="ＭＳ ゴシック" w:eastAsia="ＭＳ ゴシック"/>
          <w:color w:val="auto"/>
        </w:rPr>
      </w:pPr>
      <w:r>
        <w:rPr>
          <w:rFonts w:hint="eastAsia" w:ascii="ＭＳ ゴシック" w:hAnsi="ＭＳ ゴシック" w:eastAsia="ＭＳ ゴシック"/>
          <w:color w:val="auto"/>
        </w:rPr>
        <w:t>①　市税を滞納している者</w:t>
      </w:r>
    </w:p>
    <w:p>
      <w:pPr>
        <w:pStyle w:val="0"/>
        <w:ind w:left="660" w:leftChars="200" w:hanging="220" w:hangingChars="100"/>
        <w:rPr>
          <w:rFonts w:hint="eastAsia" w:ascii="ＭＳ ゴシック" w:hAnsi="ＭＳ ゴシック" w:eastAsia="ＭＳ ゴシック"/>
          <w:color w:val="auto"/>
        </w:rPr>
      </w:pPr>
      <w:r>
        <w:rPr>
          <w:rFonts w:hint="eastAsia" w:ascii="ＭＳ ゴシック" w:hAnsi="ＭＳ ゴシック" w:eastAsia="ＭＳ ゴシック"/>
          <w:color w:val="auto"/>
        </w:rPr>
        <w:t>②　地方自治法施行令（昭和２２年政令第１６号。以下「施行令」という。）第１６７条の４第１項の規定に該当する者</w:t>
      </w:r>
    </w:p>
    <w:p>
      <w:pPr>
        <w:pStyle w:val="0"/>
        <w:ind w:left="660" w:leftChars="200" w:hanging="220" w:hangingChars="100"/>
        <w:rPr>
          <w:rFonts w:hint="eastAsia" w:ascii="ＭＳ ゴシック" w:hAnsi="ＭＳ ゴシック" w:eastAsia="ＭＳ ゴシック"/>
          <w:color w:val="auto"/>
        </w:rPr>
      </w:pPr>
      <w:r>
        <w:rPr>
          <w:rFonts w:hint="eastAsia" w:ascii="ＭＳ ゴシック" w:hAnsi="ＭＳ ゴシック" w:eastAsia="ＭＳ ゴシック"/>
          <w:color w:val="auto"/>
        </w:rPr>
        <w:t>③　施行令第１６７条の４第２項各号の規定に該当する者で、当該事実があった日から２年を経過していないもの</w:t>
      </w:r>
    </w:p>
    <w:p>
      <w:pPr>
        <w:pStyle w:val="0"/>
        <w:ind w:left="660" w:hanging="660" w:hangingChars="300"/>
        <w:rPr>
          <w:rFonts w:hint="eastAsia" w:ascii="ＭＳ ゴシック" w:hAnsi="ＭＳ ゴシック" w:eastAsia="ＭＳ ゴシック"/>
          <w:color w:val="auto"/>
        </w:rPr>
      </w:pPr>
      <w:r>
        <w:rPr>
          <w:rFonts w:hint="eastAsia" w:ascii="ＭＳ ゴシック" w:hAnsi="ＭＳ ゴシック" w:eastAsia="ＭＳ ゴシック"/>
          <w:color w:val="auto"/>
        </w:rPr>
        <w:t>　　④　無差別大量殺人行為を行った団体の規制に関する法律（平成１１年法律第１４７号）の適用を受ける団体（以下「無差別団体」という。）</w:t>
      </w:r>
    </w:p>
    <w:p>
      <w:pPr>
        <w:pStyle w:val="0"/>
        <w:ind w:left="0" w:leftChars="0" w:hanging="630" w:hangingChars="300"/>
        <w:rPr>
          <w:rFonts w:hint="eastAsia" w:ascii="ＭＳ ゴシック" w:hAnsi="ＭＳ ゴシック" w:eastAsia="ＭＳ ゴシック"/>
          <w:b w:val="0"/>
          <w:color w:val="auto"/>
        </w:rPr>
      </w:pPr>
      <w:r>
        <w:rPr>
          <w:rFonts w:hint="eastAsia" w:ascii="ＭＳ ゴシック" w:hAnsi="ＭＳ ゴシック" w:eastAsia="ＭＳ ゴシック"/>
          <w:color w:val="auto"/>
        </w:rPr>
        <w:t>　　⑤　暴力団員による不当な行為の防止等に関する法律（平成３年法律第７７号）第２条第２号又は第６号に該当する者、広島県暴力団排除条例（平成２２年広島県条例第３７号）第１９条第３項の規定による公表が現に行われている者及び暴力団又は暴力団員と密接な関係を有する者（以下「暴力団等」という。）</w:t>
      </w:r>
    </w:p>
    <w:p>
      <w:pPr>
        <w:pStyle w:val="0"/>
        <w:ind w:left="0" w:leftChars="0" w:firstLine="105" w:firstLineChars="50"/>
        <w:rPr>
          <w:rFonts w:hint="eastAsia" w:ascii="ＭＳ ゴシック" w:hAnsi="ＭＳ ゴシック" w:eastAsia="ＭＳ ゴシック"/>
          <w:b w:val="0"/>
          <w:color w:val="auto"/>
        </w:rPr>
      </w:pPr>
      <w:r>
        <w:rPr>
          <w:rFonts w:hint="eastAsia" w:ascii="ＭＳ ゴシック" w:hAnsi="ＭＳ ゴシック" w:eastAsia="ＭＳ ゴシック"/>
          <w:color w:val="auto"/>
        </w:rPr>
        <w:t>　</w:t>
      </w:r>
    </w:p>
    <w:p>
      <w:pPr>
        <w:pStyle w:val="0"/>
        <w:ind w:left="0" w:leftChars="0" w:hanging="420" w:hangingChars="200"/>
        <w:rPr>
          <w:rFonts w:hint="eastAsia" w:ascii="ＭＳ ゴシック" w:hAnsi="ＭＳ ゴシック" w:eastAsia="ＭＳ ゴシック"/>
          <w:b w:val="1"/>
          <w:color w:val="auto"/>
        </w:rPr>
      </w:pPr>
      <w:r>
        <w:rPr>
          <w:rFonts w:hint="eastAsia" w:ascii="ＭＳ ゴシック" w:hAnsi="ＭＳ ゴシック" w:eastAsia="ＭＳ ゴシック"/>
          <w:b w:val="1"/>
          <w:color w:val="auto"/>
        </w:rPr>
        <w:t>４　整備運営事業者の選定方法等</w:t>
      </w:r>
    </w:p>
    <w:p>
      <w:pPr>
        <w:pStyle w:val="0"/>
        <w:ind w:firstLine="105" w:firstLineChars="50"/>
        <w:rPr>
          <w:rFonts w:hint="eastAsia" w:ascii="ＭＳ ゴシック" w:hAnsi="ＭＳ ゴシック" w:eastAsia="ＭＳ ゴシック"/>
          <w:color w:val="auto"/>
        </w:rPr>
      </w:pPr>
      <w:r>
        <w:rPr>
          <w:rFonts w:hint="eastAsia" w:ascii="ＭＳ ゴシック" w:hAnsi="ＭＳ ゴシック" w:eastAsia="ＭＳ ゴシック"/>
          <w:color w:val="auto"/>
        </w:rPr>
        <w:t>(1)</w:t>
      </w:r>
      <w:r>
        <w:rPr>
          <w:rFonts w:hint="eastAsia" w:ascii="ＭＳ ゴシック" w:hAnsi="ＭＳ ゴシック" w:eastAsia="ＭＳ ゴシック"/>
          <w:color w:val="auto"/>
        </w:rPr>
        <w:t>　整備運営事業者の選定方法</w:t>
      </w:r>
    </w:p>
    <w:p>
      <w:pPr>
        <w:pStyle w:val="0"/>
        <w:ind w:left="0" w:leftChars="0" w:hanging="420" w:hangingChars="200"/>
        <w:rPr>
          <w:rFonts w:hint="eastAsia" w:ascii="ＭＳ ゴシック" w:hAnsi="ＭＳ ゴシック" w:eastAsia="ＭＳ ゴシック"/>
          <w:color w:val="auto"/>
        </w:rPr>
      </w:pPr>
      <w:r>
        <w:rPr>
          <w:rFonts w:hint="eastAsia" w:ascii="ＭＳ ゴシック" w:hAnsi="ＭＳ ゴシック" w:eastAsia="ＭＳ ゴシック"/>
          <w:color w:val="auto"/>
        </w:rPr>
        <w:t>　　　原則、プロポーザル方式により選定します。</w:t>
      </w:r>
    </w:p>
    <w:p>
      <w:pPr>
        <w:pStyle w:val="0"/>
        <w:ind w:left="420" w:leftChars="200" w:firstLine="210" w:firstLineChars="100"/>
        <w:rPr>
          <w:rFonts w:hint="eastAsia" w:ascii="ＭＳ ゴシック" w:hAnsi="ＭＳ ゴシック" w:eastAsia="ＭＳ ゴシック"/>
          <w:color w:val="auto"/>
        </w:rPr>
      </w:pPr>
      <w:r>
        <w:rPr>
          <w:rFonts w:hint="eastAsia" w:ascii="ＭＳ ゴシック" w:hAnsi="ＭＳ ゴシック" w:eastAsia="ＭＳ ゴシック"/>
          <w:color w:val="auto"/>
        </w:rPr>
        <w:t>有識者等で構成する廿日市市保健福祉審議会高齢福祉専門部会における審査を基に廿日市市長が決定します。</w:t>
      </w:r>
    </w:p>
    <w:p>
      <w:pPr>
        <w:pStyle w:val="0"/>
        <w:ind w:leftChars="0" w:firstLineChars="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 (2)</w:t>
      </w:r>
      <w:r>
        <w:rPr>
          <w:rFonts w:hint="eastAsia" w:ascii="ＭＳ ゴシック" w:hAnsi="ＭＳ ゴシック" w:eastAsia="ＭＳ ゴシック"/>
          <w:color w:val="auto"/>
        </w:rPr>
        <w:t>　審査方法</w:t>
      </w:r>
    </w:p>
    <w:p>
      <w:pPr>
        <w:pStyle w:val="0"/>
        <w:ind w:left="420" w:leftChars="200" w:firstLine="210" w:firstLineChars="100"/>
        <w:rPr>
          <w:rFonts w:hint="eastAsia" w:ascii="ＭＳ ゴシック" w:hAnsi="ＭＳ ゴシック" w:eastAsia="ＭＳ ゴシック"/>
          <w:color w:val="auto"/>
        </w:rPr>
      </w:pPr>
      <w:r>
        <w:rPr>
          <w:rFonts w:hint="eastAsia" w:ascii="ＭＳ ゴシック" w:hAnsi="ＭＳ ゴシック" w:eastAsia="ＭＳ ゴシック"/>
          <w:color w:val="auto"/>
        </w:rPr>
        <w:t>審査は、別紙「審査基準」に基づき、応募書類等により計画の内容や指定基準を満たすかどうか、本事業に対する考え方、理解度及び運営体制等を項目別に評価し点数化します。</w:t>
      </w:r>
    </w:p>
    <w:p>
      <w:pPr>
        <w:pStyle w:val="0"/>
        <w:ind w:left="420" w:leftChars="200" w:firstLine="210" w:firstLineChars="100"/>
        <w:rPr>
          <w:rFonts w:hint="eastAsia" w:ascii="ＭＳ ゴシック" w:hAnsi="ＭＳ ゴシック" w:eastAsia="ＭＳ ゴシック"/>
          <w:color w:val="auto"/>
          <w:kern w:val="0"/>
          <w:sz w:val="22"/>
        </w:rPr>
      </w:pPr>
      <w:r>
        <w:rPr>
          <w:rFonts w:hint="eastAsia" w:ascii="ＭＳ ゴシック" w:hAnsi="ＭＳ ゴシック" w:eastAsia="ＭＳ ゴシック"/>
          <w:color w:val="auto"/>
        </w:rPr>
        <w:t>プロポーザル方式では、応募書類に加え、プレゼンテーション並びにヒアリングを実施します。特色のある取組などアピールしたい内容を発表してください。プレゼンテーションの日程等については、別途連絡します。</w:t>
      </w:r>
    </w:p>
    <w:p>
      <w:pPr>
        <w:pStyle w:val="0"/>
        <w:ind w:firstLine="105" w:firstLineChars="5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(3)  </w:t>
      </w:r>
      <w:r>
        <w:rPr>
          <w:rFonts w:hint="eastAsia" w:ascii="ＭＳ ゴシック" w:hAnsi="ＭＳ ゴシック" w:eastAsia="ＭＳ ゴシック"/>
          <w:color w:val="auto"/>
        </w:rPr>
        <w:t>選定結果の通知及び公表</w:t>
      </w:r>
    </w:p>
    <w:p>
      <w:pPr>
        <w:pStyle w:val="0"/>
        <w:ind w:left="420" w:leftChars="200" w:firstLine="210" w:firstLineChars="100"/>
        <w:rPr>
          <w:rFonts w:hint="eastAsia" w:ascii="ＭＳ ゴシック" w:hAnsi="ＭＳ ゴシック" w:eastAsia="ＭＳ ゴシック"/>
          <w:color w:val="auto"/>
        </w:rPr>
      </w:pPr>
      <w:r>
        <w:rPr>
          <w:rFonts w:hint="eastAsia" w:ascii="ＭＳ ゴシック" w:hAnsi="ＭＳ ゴシック" w:eastAsia="ＭＳ ゴシック"/>
          <w:color w:val="auto"/>
        </w:rPr>
        <w:t>選定の結果は、</w:t>
      </w:r>
      <w:r>
        <w:rPr>
          <w:rFonts w:hint="eastAsia" w:ascii="ＭＳ ゴシック" w:hAnsi="ＭＳ ゴシック" w:eastAsia="ＭＳ ゴシック"/>
          <w:color w:val="000000" w:themeColor="text1"/>
          <w:highlight w:val="none"/>
        </w:rPr>
        <w:t>令和８年１月中</w:t>
      </w:r>
      <w:r>
        <w:rPr>
          <w:rFonts w:hint="eastAsia" w:ascii="ＭＳ ゴシック" w:hAnsi="ＭＳ ゴシック" w:eastAsia="ＭＳ ゴシック"/>
          <w:color w:val="auto"/>
          <w:highlight w:val="none"/>
        </w:rPr>
        <w:t>旬</w:t>
      </w:r>
      <w:r>
        <w:rPr>
          <w:rFonts w:hint="eastAsia" w:ascii="ＭＳ ゴシック" w:hAnsi="ＭＳ ゴシック" w:eastAsia="ＭＳ ゴシック"/>
          <w:color w:val="auto"/>
        </w:rPr>
        <w:t>までに、書面により応募者全員に通知するとともに、市ホームページで公表します。</w:t>
      </w:r>
    </w:p>
    <w:p>
      <w:pPr>
        <w:pStyle w:val="0"/>
        <w:ind w:left="420" w:leftChars="200" w:firstLine="210" w:firstLineChars="100"/>
        <w:rPr>
          <w:rFonts w:hint="eastAsia" w:ascii="ＭＳ ゴシック" w:hAnsi="ＭＳ ゴシック" w:eastAsia="ＭＳ ゴシック"/>
          <w:color w:val="auto"/>
        </w:rPr>
      </w:pPr>
      <w:r>
        <w:rPr>
          <w:rFonts w:hint="eastAsia" w:ascii="ＭＳ ゴシック" w:hAnsi="ＭＳ ゴシック" w:eastAsia="ＭＳ ゴシック"/>
          <w:color w:val="auto"/>
        </w:rPr>
        <w:t>なお、選定結果に対する異議は受け付けませんのでご了承ください。また、選定により整備運営事業者となった場合は、法人の解散など、本市がやむを得ないものと認めた場合を除き、辞退することはできません。</w:t>
      </w:r>
    </w:p>
    <w:p>
      <w:pPr>
        <w:pStyle w:val="0"/>
        <w:ind w:leftChars="0" w:hanging="420" w:hangingChars="200"/>
        <w:rPr>
          <w:rFonts w:hint="eastAsia" w:ascii="ＭＳ ゴシック" w:hAnsi="ＭＳ ゴシック" w:eastAsia="ＭＳ ゴシック"/>
          <w:b w:val="0"/>
          <w:color w:val="auto"/>
        </w:rPr>
      </w:pPr>
    </w:p>
    <w:p>
      <w:pPr>
        <w:pStyle w:val="0"/>
        <w:ind w:left="422" w:hanging="422" w:hangingChars="200"/>
        <w:rPr>
          <w:rFonts w:hint="eastAsia" w:ascii="ＭＳ ゴシック" w:hAnsi="ＭＳ ゴシック" w:eastAsia="ＭＳ ゴシック"/>
          <w:b w:val="1"/>
          <w:color w:val="auto"/>
        </w:rPr>
      </w:pPr>
      <w:r>
        <w:rPr>
          <w:rFonts w:hint="eastAsia" w:ascii="ＭＳ ゴシック" w:hAnsi="ＭＳ ゴシック" w:eastAsia="ＭＳ ゴシック"/>
          <w:b w:val="1"/>
          <w:color w:val="auto"/>
        </w:rPr>
        <w:t>５　応募手続き</w:t>
      </w:r>
    </w:p>
    <w:p>
      <w:pPr>
        <w:pStyle w:val="0"/>
        <w:ind w:leftChars="0" w:firstLine="0" w:firstLineChars="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 (1)</w:t>
      </w:r>
      <w:r>
        <w:rPr>
          <w:rFonts w:hint="eastAsia" w:ascii="ＭＳ ゴシック" w:hAnsi="ＭＳ ゴシック" w:eastAsia="ＭＳ ゴシック"/>
          <w:color w:val="auto"/>
        </w:rPr>
        <w:t>　応募書類の提出</w:t>
      </w:r>
    </w:p>
    <w:p>
      <w:pPr>
        <w:pStyle w:val="0"/>
        <w:ind w:leftChars="0" w:hanging="420" w:hangingChars="200"/>
        <w:rPr>
          <w:rFonts w:hint="eastAsia" w:ascii="ＭＳ ゴシック" w:hAnsi="ＭＳ ゴシック" w:eastAsia="ＭＳ ゴシック"/>
          <w:color w:val="auto"/>
        </w:rPr>
      </w:pPr>
      <w:r>
        <w:rPr>
          <w:rFonts w:hint="eastAsia" w:ascii="ＭＳ ゴシック" w:hAnsi="ＭＳ ゴシック" w:eastAsia="ＭＳ ゴシック"/>
          <w:color w:val="auto"/>
        </w:rPr>
        <w:t>　　　本公募の応募者は、応募申込書（様式１）及び添付書類（「６　応募書類一覧」を参照）を次の受付場所に持参してください。（原則、郵送等での提出は受け付けません。）</w:t>
      </w:r>
    </w:p>
    <w:p>
      <w:pPr>
        <w:pStyle w:val="0"/>
        <w:ind w:left="420" w:leftChars="200" w:firstLine="210" w:firstLineChars="100"/>
        <w:rPr>
          <w:rFonts w:hint="eastAsia" w:ascii="ＭＳ ゴシック" w:hAnsi="ＭＳ ゴシック" w:eastAsia="ＭＳ ゴシック"/>
          <w:color w:val="auto"/>
        </w:rPr>
      </w:pPr>
      <w:r>
        <w:rPr>
          <w:rFonts w:hint="eastAsia" w:ascii="ＭＳ ゴシック" w:hAnsi="ＭＳ ゴシック" w:eastAsia="ＭＳ ゴシック"/>
          <w:color w:val="auto"/>
        </w:rPr>
        <w:t>提出時には、添付書類の不足、所定様式への記載漏れ等の形式審査のみ行います。一度提出された書類は返却しませんのでご了承ください。</w:t>
      </w:r>
    </w:p>
    <w:p>
      <w:pPr>
        <w:pStyle w:val="0"/>
        <w:ind w:leftChars="0" w:hanging="420" w:hangingChars="200"/>
        <w:rPr>
          <w:rFonts w:hint="eastAsia" w:ascii="ＭＳ ゴシック" w:hAnsi="ＭＳ ゴシック" w:eastAsia="ＭＳ ゴシック"/>
          <w:color w:val="auto"/>
        </w:rPr>
      </w:pPr>
      <w:r>
        <w:rPr>
          <w:rFonts w:hint="eastAsia" w:ascii="ＭＳ ゴシック" w:hAnsi="ＭＳ ゴシック" w:eastAsia="ＭＳ ゴシック"/>
          <w:color w:val="auto"/>
        </w:rPr>
        <w:t>　　　また、応募に関して必要となる一切の費用は、応募者の負担とします。</w:t>
      </w:r>
    </w:p>
    <w:p>
      <w:pPr>
        <w:pStyle w:val="0"/>
        <w:ind w:firstLine="105" w:firstLineChars="5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(2)  </w:t>
      </w:r>
      <w:r>
        <w:rPr>
          <w:rFonts w:hint="eastAsia" w:ascii="ＭＳ ゴシック" w:hAnsi="ＭＳ ゴシック" w:eastAsia="ＭＳ ゴシック"/>
          <w:color w:val="auto"/>
        </w:rPr>
        <w:t>受付期間及び受付場所</w:t>
      </w:r>
    </w:p>
    <w:tbl>
      <w:tblPr>
        <w:tblStyle w:val="44"/>
        <w:tblW w:w="0" w:type="auto"/>
        <w:tblInd w:w="415" w:type="dxa"/>
        <w:tblLayout w:type="fixed"/>
        <w:tblLook w:firstRow="1" w:lastRow="0" w:firstColumn="1" w:lastColumn="0" w:noHBand="0" w:noVBand="1" w:val="04A0"/>
      </w:tblPr>
      <w:tblGrid>
        <w:gridCol w:w="1470"/>
        <w:gridCol w:w="7185"/>
      </w:tblGrid>
      <w:tr>
        <w:trPr/>
        <w:tc>
          <w:tcPr>
            <w:tcW w:w="1470" w:type="dxa"/>
            <w:vAlign w:val="center"/>
          </w:tcPr>
          <w:p>
            <w:pPr>
              <w:pStyle w:val="0"/>
              <w:jc w:val="center"/>
              <w:rPr>
                <w:rFonts w:hint="eastAsia" w:ascii="ＭＳ ゴシック" w:hAnsi="ＭＳ ゴシック" w:eastAsia="ＭＳ ゴシック"/>
                <w:color w:val="auto"/>
              </w:rPr>
            </w:pPr>
            <w:r>
              <w:rPr>
                <w:rFonts w:hint="eastAsia" w:ascii="ＭＳ ゴシック" w:hAnsi="ＭＳ ゴシック" w:eastAsia="ＭＳ ゴシック"/>
                <w:color w:val="auto"/>
              </w:rPr>
              <w:t>受付期間</w:t>
            </w:r>
          </w:p>
        </w:tc>
        <w:tc>
          <w:tcPr>
            <w:tcW w:w="7185" w:type="dxa"/>
            <w:vAlign w:val="top"/>
          </w:tcPr>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令和７年１０月２０日（月）から令和７年１２月２日（火）まで</w:t>
            </w:r>
          </w:p>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（土・日・祝日を除く）</w:t>
            </w:r>
          </w:p>
        </w:tc>
      </w:tr>
      <w:tr>
        <w:trPr/>
        <w:tc>
          <w:tcPr>
            <w:tcW w:w="1470" w:type="dxa"/>
            <w:vAlign w:val="center"/>
          </w:tcPr>
          <w:p>
            <w:pPr>
              <w:pStyle w:val="0"/>
              <w:jc w:val="center"/>
              <w:rPr>
                <w:rFonts w:hint="eastAsia" w:ascii="ＭＳ ゴシック" w:hAnsi="ＭＳ ゴシック" w:eastAsia="ＭＳ ゴシック"/>
                <w:color w:val="auto"/>
              </w:rPr>
            </w:pPr>
            <w:r>
              <w:rPr>
                <w:rFonts w:hint="eastAsia" w:ascii="ＭＳ ゴシック" w:hAnsi="ＭＳ ゴシック" w:eastAsia="ＭＳ ゴシック"/>
                <w:color w:val="auto"/>
              </w:rPr>
              <w:t>受付時間</w:t>
            </w:r>
          </w:p>
        </w:tc>
        <w:tc>
          <w:tcPr>
            <w:tcW w:w="7185" w:type="dxa"/>
            <w:vAlign w:val="top"/>
          </w:tcPr>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９時から１６時まで</w:t>
            </w:r>
          </w:p>
        </w:tc>
      </w:tr>
      <w:tr>
        <w:trPr/>
        <w:tc>
          <w:tcPr>
            <w:tcW w:w="1470" w:type="dxa"/>
            <w:vAlign w:val="center"/>
          </w:tcPr>
          <w:p>
            <w:pPr>
              <w:pStyle w:val="0"/>
              <w:jc w:val="center"/>
              <w:rPr>
                <w:rFonts w:hint="eastAsia" w:ascii="ＭＳ ゴシック" w:hAnsi="ＭＳ ゴシック" w:eastAsia="ＭＳ ゴシック"/>
                <w:color w:val="auto"/>
              </w:rPr>
            </w:pPr>
            <w:r>
              <w:rPr>
                <w:rFonts w:hint="eastAsia" w:ascii="ＭＳ ゴシック" w:hAnsi="ＭＳ ゴシック" w:eastAsia="ＭＳ ゴシック"/>
                <w:color w:val="auto"/>
              </w:rPr>
              <w:t>受付場所</w:t>
            </w:r>
          </w:p>
        </w:tc>
        <w:tc>
          <w:tcPr>
            <w:tcW w:w="7185" w:type="dxa"/>
            <w:vAlign w:val="top"/>
          </w:tcPr>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〒７３８－８５１２　廿日市市新宮一丁目１３番１号</w:t>
            </w:r>
          </w:p>
          <w:p>
            <w:pPr>
              <w:pStyle w:val="0"/>
              <w:ind w:firstLine="210" w:firstLineChars="100"/>
              <w:rPr>
                <w:rFonts w:hint="eastAsia" w:ascii="ＭＳ ゴシック" w:hAnsi="ＭＳ ゴシック" w:eastAsia="ＭＳ ゴシック"/>
                <w:color w:val="auto"/>
              </w:rPr>
            </w:pPr>
            <w:r>
              <w:rPr>
                <w:rFonts w:hint="eastAsia" w:ascii="ＭＳ ゴシック" w:hAnsi="ＭＳ ゴシック" w:eastAsia="ＭＳ ゴシック"/>
                <w:color w:val="auto"/>
              </w:rPr>
              <w:t>廿日市市健康福祉部高齢介護課　介護保険係</w:t>
            </w:r>
          </w:p>
          <w:p>
            <w:pPr>
              <w:pStyle w:val="0"/>
              <w:ind w:firstLine="210" w:firstLineChars="100"/>
              <w:rPr>
                <w:rFonts w:hint="eastAsia" w:ascii="ＭＳ ゴシック" w:hAnsi="ＭＳ ゴシック" w:eastAsia="ＭＳ ゴシック"/>
                <w:color w:val="auto"/>
              </w:rPr>
            </w:pPr>
            <w:r>
              <w:rPr>
                <w:rFonts w:hint="eastAsia" w:ascii="ＭＳ ゴシック" w:hAnsi="ＭＳ ゴシック" w:eastAsia="ＭＳ ゴシック"/>
                <w:color w:val="auto"/>
              </w:rPr>
              <w:t>（山崎本社みんなのあいプラザ３階）</w:t>
            </w:r>
          </w:p>
        </w:tc>
      </w:tr>
      <w:tr>
        <w:trPr/>
        <w:tc>
          <w:tcPr>
            <w:tcW w:w="1470" w:type="dxa"/>
            <w:vAlign w:val="center"/>
          </w:tcPr>
          <w:p>
            <w:pPr>
              <w:pStyle w:val="0"/>
              <w:jc w:val="center"/>
              <w:rPr>
                <w:rFonts w:hint="eastAsia" w:ascii="ＭＳ ゴシック" w:hAnsi="ＭＳ ゴシック" w:eastAsia="ＭＳ ゴシック"/>
                <w:color w:val="auto"/>
              </w:rPr>
            </w:pPr>
            <w:r>
              <w:rPr>
                <w:rFonts w:hint="eastAsia" w:ascii="ＭＳ ゴシック" w:hAnsi="ＭＳ ゴシック" w:eastAsia="ＭＳ ゴシック"/>
                <w:color w:val="auto"/>
              </w:rPr>
              <w:t>応募書類</w:t>
            </w:r>
          </w:p>
        </w:tc>
        <w:tc>
          <w:tcPr>
            <w:tcW w:w="7185" w:type="dxa"/>
            <w:vAlign w:val="top"/>
          </w:tcPr>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①正本１部</w:t>
            </w:r>
          </w:p>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②副本１０部</w:t>
            </w:r>
          </w:p>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③正本及び副本の電子データを格納したＣＤ等</w:t>
            </w:r>
          </w:p>
          <w:p>
            <w:pPr>
              <w:pStyle w:val="0"/>
              <w:ind w:leftChars="0" w:hanging="189" w:hangingChars="90"/>
              <w:rPr>
                <w:rFonts w:hint="eastAsia" w:ascii="ＭＳ ゴシック" w:hAnsi="ＭＳ ゴシック" w:eastAsia="ＭＳ ゴシック"/>
                <w:color w:val="auto"/>
              </w:rPr>
            </w:pPr>
            <w:r>
              <w:rPr>
                <w:rFonts w:hint="eastAsia" w:ascii="ＭＳ ゴシック" w:hAnsi="ＭＳ ゴシック" w:eastAsia="ＭＳ ゴシック"/>
                <w:color w:val="auto"/>
              </w:rPr>
              <w:t>※副本の１０部については、審査判定に用いることから、公平性の観点により応募者が特定できないよう、法人名、法人名を類推させる事項等がある場合は黒塗りするなどしてください。</w:t>
            </w:r>
          </w:p>
          <w:p>
            <w:pPr>
              <w:pStyle w:val="0"/>
              <w:ind w:leftChars="0" w:hanging="189" w:hangingChars="90"/>
              <w:rPr>
                <w:rFonts w:hint="eastAsia" w:ascii="ＭＳ ゴシック" w:hAnsi="ＭＳ ゴシック" w:eastAsia="ＭＳ ゴシック"/>
                <w:color w:val="auto"/>
              </w:rPr>
            </w:pPr>
            <w:r>
              <w:rPr>
                <w:rFonts w:hint="eastAsia" w:ascii="ＭＳ ゴシック" w:hAnsi="ＭＳ ゴシック" w:eastAsia="ＭＳ ゴシック"/>
                <w:color w:val="auto"/>
              </w:rPr>
              <w:t>　（ＷｏｒｄやＥｘｃｅｌ等で作成する書類の場合は、パソコン上で、該当部分を黒く塗りつぶす等の加工をお願いします。黒塗りが薄く、法人名等が容易に見えてしまうケースが見られますので、必ず、確認の上提出してください。）</w:t>
            </w:r>
          </w:p>
        </w:tc>
      </w:tr>
    </w:tbl>
    <w:p>
      <w:pPr>
        <w:pStyle w:val="0"/>
        <w:ind w:firstLine="105" w:firstLineChars="50"/>
        <w:rPr>
          <w:rFonts w:hint="eastAsia" w:ascii="ＭＳ ゴシック" w:hAnsi="ＭＳ ゴシック" w:eastAsia="ＭＳ ゴシック"/>
          <w:color w:val="auto"/>
        </w:rPr>
      </w:pPr>
      <w:r>
        <w:rPr>
          <w:rFonts w:hint="eastAsia" w:ascii="ＭＳ ゴシック" w:hAnsi="ＭＳ ゴシック" w:eastAsia="ＭＳ ゴシック"/>
          <w:color w:val="auto"/>
        </w:rPr>
        <w:t>(3)</w:t>
      </w:r>
      <w:r>
        <w:rPr>
          <w:rFonts w:hint="eastAsia" w:ascii="ＭＳ ゴシック" w:hAnsi="ＭＳ ゴシック" w:eastAsia="ＭＳ ゴシック"/>
          <w:color w:val="auto"/>
        </w:rPr>
        <w:t>　応募書類の体裁及び留意点</w:t>
      </w:r>
    </w:p>
    <w:p>
      <w:pPr>
        <w:pStyle w:val="0"/>
        <w:ind w:left="0" w:leftChars="0" w:hanging="630" w:hangingChars="300"/>
        <w:rPr>
          <w:rFonts w:hint="eastAsia" w:ascii="ＭＳ ゴシック" w:hAnsi="ＭＳ ゴシック" w:eastAsia="ＭＳ ゴシック"/>
          <w:color w:val="auto"/>
        </w:rPr>
      </w:pPr>
      <w:r>
        <w:rPr>
          <w:rFonts w:hint="eastAsia" w:ascii="ＭＳ ゴシック" w:hAnsi="ＭＳ ゴシック" w:eastAsia="ＭＳ ゴシック"/>
          <w:color w:val="auto"/>
        </w:rPr>
        <w:t>　　ア　応募書類は原則Ａ４判としてください。図面などについてＡ３判を用いる場合は、三つ折りとし、Ａ４判サイズとなるようにしてください。</w:t>
      </w:r>
    </w:p>
    <w:p>
      <w:pPr>
        <w:pStyle w:val="0"/>
        <w:ind w:leftChars="0" w:hanging="630" w:hangingChars="300"/>
        <w:rPr>
          <w:rFonts w:hint="eastAsia" w:ascii="ＭＳ ゴシック" w:hAnsi="ＭＳ ゴシック" w:eastAsia="ＭＳ ゴシック"/>
          <w:color w:val="auto"/>
        </w:rPr>
      </w:pPr>
      <w:r>
        <w:rPr>
          <w:rFonts w:hint="eastAsia" w:ascii="ＭＳ ゴシック" w:hAnsi="ＭＳ ゴシック" w:eastAsia="ＭＳ ゴシック"/>
          <w:color w:val="auto"/>
        </w:rPr>
        <w:t>　　イ　応募書類は様式順に並べたうえで一連のページ番号及び項目ごとにインデックスを付し、Ａ４判ファイルに綴ってください。</w:t>
      </w:r>
    </w:p>
    <w:p>
      <w:pPr>
        <w:pStyle w:val="0"/>
        <w:ind w:leftChars="0" w:hanging="630" w:hangingChars="300"/>
        <w:rPr>
          <w:rFonts w:hint="eastAsia" w:ascii="ＭＳ ゴシック" w:hAnsi="ＭＳ ゴシック" w:eastAsia="ＭＳ ゴシック"/>
          <w:color w:val="auto"/>
        </w:rPr>
      </w:pPr>
      <w:r>
        <w:rPr>
          <w:rFonts w:hint="eastAsia" w:ascii="ＭＳ ゴシック" w:hAnsi="ＭＳ ゴシック" w:eastAsia="ＭＳ ゴシック"/>
          <w:color w:val="auto"/>
        </w:rPr>
        <w:t>　　ウ　応募書類の表紙に「令和７年度地域密着型サービス（定期巡回・随時対応型訪問介護看護）整備運営事業者開設提案書」と記載してください。正本については、これらに合わせて「応募事業者名」を記載してください。</w:t>
      </w:r>
    </w:p>
    <w:p>
      <w:pPr>
        <w:pStyle w:val="0"/>
        <w:ind w:leftChars="0" w:hanging="630" w:hangingChars="300"/>
        <w:rPr>
          <w:rFonts w:hint="eastAsia" w:ascii="ＭＳ ゴシック" w:hAnsi="ＭＳ ゴシック" w:eastAsia="ＭＳ ゴシック"/>
          <w:color w:val="auto"/>
        </w:rPr>
      </w:pPr>
      <w:r>
        <w:rPr>
          <w:rFonts w:hint="eastAsia" w:ascii="ＭＳ ゴシック" w:hAnsi="ＭＳ ゴシック" w:eastAsia="ＭＳ ゴシック"/>
          <w:color w:val="auto"/>
        </w:rPr>
        <w:t>　　エ　提出日、時間を電話等であらかじめ予約のうえ、持参してください。</w:t>
      </w:r>
    </w:p>
    <w:p>
      <w:pPr>
        <w:pStyle w:val="0"/>
        <w:ind w:leftChars="0" w:hanging="630" w:hangingChars="300"/>
        <w:rPr>
          <w:rFonts w:hint="eastAsia" w:ascii="ＭＳ ゴシック" w:hAnsi="ＭＳ ゴシック" w:eastAsia="ＭＳ ゴシック"/>
          <w:color w:val="auto"/>
        </w:rPr>
      </w:pPr>
      <w:r>
        <w:rPr>
          <w:rFonts w:hint="eastAsia" w:ascii="ＭＳ ゴシック" w:hAnsi="ＭＳ ゴシック" w:eastAsia="ＭＳ ゴシック"/>
          <w:color w:val="auto"/>
        </w:rPr>
        <w:t>　　オ　受付期間を過ぎた場合は受付できませんので、ご注意ください。</w:t>
      </w:r>
    </w:p>
    <w:p>
      <w:pPr>
        <w:pStyle w:val="0"/>
        <w:ind w:firstLine="105" w:firstLineChars="50"/>
        <w:rPr>
          <w:rFonts w:hint="eastAsia" w:ascii="ＭＳ ゴシック" w:hAnsi="ＭＳ ゴシック" w:eastAsia="ＭＳ ゴシック"/>
          <w:color w:val="auto"/>
        </w:rPr>
      </w:pPr>
      <w:r>
        <w:rPr>
          <w:rFonts w:hint="eastAsia" w:ascii="ＭＳ ゴシック" w:hAnsi="ＭＳ ゴシック" w:eastAsia="ＭＳ ゴシック"/>
          <w:color w:val="auto"/>
        </w:rPr>
        <w:t>(4)</w:t>
      </w:r>
      <w:r>
        <w:rPr>
          <w:rFonts w:hint="eastAsia" w:ascii="ＭＳ ゴシック" w:hAnsi="ＭＳ ゴシック" w:eastAsia="ＭＳ ゴシック"/>
          <w:color w:val="auto"/>
        </w:rPr>
        <w:t>　応募書類の修正及び追加資料等の提出依頼</w:t>
      </w:r>
    </w:p>
    <w:p>
      <w:pPr>
        <w:pStyle w:val="0"/>
        <w:ind w:left="0" w:leftChars="0" w:hanging="420" w:hangingChars="200"/>
        <w:rPr>
          <w:rFonts w:hint="eastAsia" w:ascii="ＭＳ ゴシック" w:hAnsi="ＭＳ ゴシック" w:eastAsia="ＭＳ ゴシック"/>
          <w:color w:val="auto"/>
        </w:rPr>
      </w:pPr>
      <w:r>
        <w:rPr>
          <w:rFonts w:hint="eastAsia" w:ascii="ＭＳ ゴシック" w:hAnsi="ＭＳ ゴシック" w:eastAsia="ＭＳ ゴシック"/>
          <w:color w:val="auto"/>
        </w:rPr>
        <w:t>　　　応募書類について審査判定する上で疑義が生じたときは、内容についての確認や修正を依頼する場合があります。また、追加資料等の提出を求める場合がありますので、予めご了承ください。</w:t>
      </w:r>
    </w:p>
    <w:p>
      <w:pPr>
        <w:pStyle w:val="0"/>
        <w:ind w:left="420" w:leftChars="50" w:hanging="315" w:hangingChars="150"/>
        <w:rPr>
          <w:rFonts w:hint="eastAsia" w:ascii="ＭＳ ゴシック" w:hAnsi="ＭＳ ゴシック" w:eastAsia="ＭＳ ゴシック"/>
          <w:color w:val="auto"/>
        </w:rPr>
      </w:pPr>
      <w:r>
        <w:rPr>
          <w:rFonts w:hint="eastAsia" w:ascii="ＭＳ ゴシック" w:hAnsi="ＭＳ ゴシック" w:eastAsia="ＭＳ ゴシック"/>
          <w:color w:val="auto"/>
        </w:rPr>
        <w:t>(5)</w:t>
      </w:r>
      <w:r>
        <w:rPr>
          <w:rFonts w:hint="eastAsia" w:ascii="ＭＳ ゴシック" w:hAnsi="ＭＳ ゴシック" w:eastAsia="ＭＳ ゴシック"/>
          <w:color w:val="auto"/>
        </w:rPr>
        <w:t>　情報非公開希望申立書（様式１３）１部</w:t>
      </w:r>
    </w:p>
    <w:p>
      <w:pPr>
        <w:pStyle w:val="0"/>
        <w:ind w:left="630" w:leftChars="200" w:hanging="210" w:hangingChars="100"/>
        <w:rPr>
          <w:rFonts w:hint="eastAsia" w:ascii="ＭＳ ゴシック" w:hAnsi="ＭＳ ゴシック" w:eastAsia="ＭＳ ゴシック"/>
          <w:color w:val="auto"/>
        </w:rPr>
      </w:pPr>
      <w:r>
        <w:rPr>
          <w:rFonts w:hint="eastAsia" w:ascii="ＭＳ ゴシック" w:hAnsi="ＭＳ ゴシック" w:eastAsia="ＭＳ ゴシック"/>
          <w:color w:val="auto"/>
        </w:rPr>
        <w:t>ア　提出された書類は、廿日市市情報公開条例に基づく開示請求があった場合は、対象文書として原則公開となります。しかしながら、公にすることに</w:t>
      </w:r>
      <w:bookmarkStart w:id="0" w:name="_GoBack"/>
      <w:bookmarkEnd w:id="0"/>
      <w:r>
        <w:rPr>
          <w:rFonts w:hint="eastAsia" w:ascii="ＭＳ ゴシック" w:hAnsi="ＭＳ ゴシック" w:eastAsia="ＭＳ ゴシック"/>
          <w:color w:val="auto"/>
        </w:rPr>
        <w:t>より、法人等の権利、競争上の地位その他正当な利益を害するおそれがあると認めるに足りる合理的な理由がある情報は、同条例第７条第３号の規定により非公開とできる場合があります。応募書類において、当該規定適用により非公開とすることを希望する部分について、情報非公開希望申立書により、該当部分と、公開により正当な利益を害すると認められるに足りる具体的な理由を明示してください。</w:t>
      </w:r>
    </w:p>
    <w:p>
      <w:pPr>
        <w:pStyle w:val="0"/>
        <w:ind w:left="0" w:leftChars="0" w:firstLine="420" w:firstLineChars="200"/>
        <w:rPr>
          <w:rFonts w:hint="eastAsia" w:ascii="ＭＳ ゴシック" w:hAnsi="ＭＳ ゴシック" w:eastAsia="ＭＳ ゴシック"/>
          <w:color w:val="auto"/>
        </w:rPr>
      </w:pPr>
      <w:r>
        <w:rPr>
          <w:rFonts w:hint="eastAsia" w:ascii="ＭＳ ゴシック" w:hAnsi="ＭＳ ゴシック" w:eastAsia="ＭＳ ゴシック"/>
          <w:color w:val="auto"/>
        </w:rPr>
        <w:t>イ　非公開を希望する部分が無い場合も、その旨を記載し、申立書を必ず提出してください。</w:t>
      </w:r>
    </w:p>
    <w:p>
      <w:pPr>
        <w:pStyle w:val="0"/>
        <w:ind w:leftChars="0" w:firstLine="0" w:firstLineChars="0"/>
        <w:rPr>
          <w:rFonts w:hint="eastAsia" w:ascii="ＭＳ ゴシック" w:hAnsi="ＭＳ ゴシック" w:eastAsia="ＭＳ ゴシック"/>
          <w:color w:val="auto"/>
        </w:rPr>
      </w:pPr>
    </w:p>
    <w:p>
      <w:pPr>
        <w:pStyle w:val="0"/>
        <w:ind w:leftChars="0" w:firstLine="0" w:firstLineChars="0"/>
        <w:rPr>
          <w:rFonts w:hint="eastAsia" w:ascii="ＭＳ ゴシック" w:hAnsi="ＭＳ ゴシック" w:eastAsia="ＭＳ ゴシック"/>
          <w:color w:val="auto"/>
        </w:rPr>
      </w:pPr>
      <w:r>
        <w:rPr>
          <w:rFonts w:hint="eastAsia" w:ascii="ＭＳ ゴシック" w:hAnsi="ＭＳ ゴシック" w:eastAsia="ＭＳ ゴシック"/>
          <w:b w:val="1"/>
          <w:color w:val="auto"/>
        </w:rPr>
        <w:t>６　応募書類一覧</w:t>
      </w:r>
    </w:p>
    <w:p>
      <w:pPr>
        <w:pStyle w:val="0"/>
        <w:numPr>
          <w:numId w:val="0"/>
        </w:numPr>
        <w:ind w:left="360" w:leftChars="0" w:firstLine="0" w:firstLineChars="0"/>
        <w:rPr>
          <w:rFonts w:hint="eastAsia" w:ascii="ＭＳ ゴシック" w:hAnsi="ＭＳ ゴシック" w:eastAsia="ＭＳ ゴシック"/>
          <w:b w:val="0"/>
          <w:color w:val="auto"/>
        </w:rPr>
      </w:pPr>
      <w:r>
        <w:rPr>
          <w:rFonts w:hint="eastAsia" w:ascii="ＭＳ ゴシック" w:hAnsi="ＭＳ ゴシック" w:eastAsia="ＭＳ ゴシック"/>
          <w:b w:val="0"/>
          <w:color w:val="auto"/>
        </w:rPr>
        <w:t>○応募申込書等</w:t>
      </w:r>
    </w:p>
    <w:p>
      <w:pPr>
        <w:pStyle w:val="0"/>
        <w:numPr>
          <w:numId w:val="0"/>
        </w:numPr>
        <w:ind w:left="210" w:leftChars="100" w:firstLine="210" w:firstLineChars="100"/>
        <w:rPr>
          <w:rFonts w:hint="eastAsia" w:ascii="ＭＳ ゴシック" w:hAnsi="ＭＳ ゴシック" w:eastAsia="ＭＳ ゴシック"/>
          <w:b w:val="0"/>
          <w:color w:val="auto"/>
        </w:rPr>
      </w:pPr>
      <w:r>
        <w:rPr>
          <w:rFonts w:hint="eastAsia" w:ascii="ＭＳ ゴシック" w:hAnsi="ＭＳ ゴシック" w:eastAsia="ＭＳ ゴシック"/>
          <w:b w:val="0"/>
          <w:color w:val="auto"/>
        </w:rPr>
        <w:t>・様式１　令和７年度地域密着型サービス整備事業者（定期巡回・随時対応型訪問介護</w:t>
      </w:r>
    </w:p>
    <w:p>
      <w:pPr>
        <w:pStyle w:val="0"/>
        <w:numPr>
          <w:numId w:val="0"/>
        </w:numPr>
        <w:ind w:left="210" w:leftChars="100" w:firstLine="210" w:firstLineChars="100"/>
        <w:rPr>
          <w:rFonts w:hint="eastAsia" w:ascii="ＭＳ ゴシック" w:hAnsi="ＭＳ ゴシック" w:eastAsia="ＭＳ ゴシック"/>
          <w:b w:val="0"/>
          <w:color w:val="auto"/>
        </w:rPr>
      </w:pPr>
      <w:r>
        <w:rPr>
          <w:rFonts w:hint="eastAsia" w:ascii="ＭＳ ゴシック" w:hAnsi="ＭＳ ゴシック" w:eastAsia="ＭＳ ゴシック"/>
          <w:b w:val="0"/>
          <w:color w:val="auto"/>
        </w:rPr>
        <w:t>　　　　　看護）応募申込書</w:t>
      </w:r>
    </w:p>
    <w:p>
      <w:pPr>
        <w:pStyle w:val="0"/>
        <w:numPr>
          <w:numId w:val="0"/>
        </w:numPr>
        <w:ind w:left="360" w:leftChars="0" w:firstLine="0" w:firstLineChars="0"/>
        <w:rPr>
          <w:rFonts w:hint="eastAsia" w:ascii="ＭＳ ゴシック" w:hAnsi="ＭＳ ゴシック" w:eastAsia="ＭＳ ゴシック"/>
          <w:b w:val="0"/>
          <w:color w:val="auto"/>
        </w:rPr>
      </w:pPr>
      <w:r>
        <w:rPr>
          <w:rFonts w:hint="eastAsia" w:ascii="ＭＳ ゴシック" w:hAnsi="ＭＳ ゴシック" w:eastAsia="ＭＳ ゴシック"/>
          <w:b w:val="0"/>
          <w:color w:val="auto"/>
        </w:rPr>
        <w:t>・様式２　誓約書兼同意書</w:t>
      </w:r>
    </w:p>
    <w:p>
      <w:pPr>
        <w:pStyle w:val="0"/>
        <w:numPr>
          <w:numId w:val="0"/>
        </w:numPr>
        <w:ind w:left="360" w:leftChars="0" w:firstLine="0" w:firstLineChars="0"/>
        <w:rPr>
          <w:rFonts w:hint="eastAsia" w:ascii="ＭＳ ゴシック" w:hAnsi="ＭＳ ゴシック" w:eastAsia="ＭＳ ゴシック"/>
          <w:b w:val="0"/>
          <w:color w:val="auto"/>
        </w:rPr>
      </w:pPr>
      <w:r>
        <w:rPr>
          <w:rFonts w:hint="eastAsia" w:ascii="ＭＳ ゴシック" w:hAnsi="ＭＳ ゴシック" w:eastAsia="ＭＳ ゴシック"/>
          <w:b w:val="0"/>
          <w:color w:val="auto"/>
        </w:rPr>
        <w:t>・法人登記事項証明書（３ヶ月以内に発行されたもの）</w:t>
      </w:r>
    </w:p>
    <w:p>
      <w:pPr>
        <w:pStyle w:val="0"/>
        <w:numPr>
          <w:numId w:val="0"/>
        </w:numPr>
        <w:ind w:left="360" w:leftChars="0" w:firstLine="0" w:firstLineChars="0"/>
        <w:rPr>
          <w:rFonts w:hint="eastAsia" w:ascii="ＭＳ ゴシック" w:hAnsi="ＭＳ ゴシック" w:eastAsia="ＭＳ ゴシック"/>
          <w:b w:val="0"/>
          <w:color w:val="auto"/>
        </w:rPr>
      </w:pPr>
      <w:r>
        <w:rPr>
          <w:rFonts w:hint="eastAsia" w:ascii="ＭＳ ゴシック" w:hAnsi="ＭＳ ゴシック" w:eastAsia="ＭＳ ゴシック"/>
          <w:b w:val="0"/>
          <w:color w:val="auto"/>
        </w:rPr>
        <w:t>・滞納のない証明書</w:t>
      </w:r>
    </w:p>
    <w:p>
      <w:pPr>
        <w:pStyle w:val="0"/>
        <w:numPr>
          <w:numId w:val="0"/>
        </w:numPr>
        <w:ind w:left="360" w:leftChars="0" w:firstLine="0" w:firstLineChars="0"/>
        <w:rPr>
          <w:rFonts w:hint="eastAsia" w:ascii="ＭＳ ゴシック" w:hAnsi="ＭＳ ゴシック" w:eastAsia="ＭＳ ゴシック"/>
          <w:b w:val="0"/>
          <w:color w:val="auto"/>
        </w:rPr>
      </w:pPr>
      <w:r>
        <w:rPr>
          <w:rFonts w:hint="eastAsia" w:ascii="ＭＳ ゴシック" w:hAnsi="ＭＳ ゴシック" w:eastAsia="ＭＳ ゴシック"/>
          <w:b w:val="0"/>
          <w:color w:val="auto"/>
        </w:rPr>
        <w:t>・財務諸表（直近３期分）</w:t>
      </w:r>
    </w:p>
    <w:p>
      <w:pPr>
        <w:pStyle w:val="0"/>
        <w:numPr>
          <w:numId w:val="0"/>
        </w:numPr>
        <w:ind w:left="360" w:leftChars="0" w:firstLine="0" w:firstLineChars="0"/>
        <w:rPr>
          <w:rFonts w:hint="eastAsia" w:ascii="ＭＳ ゴシック" w:hAnsi="ＭＳ ゴシック" w:eastAsia="ＭＳ ゴシック"/>
          <w:b w:val="0"/>
          <w:color w:val="auto"/>
        </w:rPr>
      </w:pPr>
      <w:r>
        <w:rPr>
          <w:rFonts w:hint="eastAsia" w:ascii="ＭＳ ゴシック" w:hAnsi="ＭＳ ゴシック" w:eastAsia="ＭＳ ゴシック"/>
          <w:b w:val="0"/>
          <w:color w:val="auto"/>
        </w:rPr>
        <w:t>・土地立入承諾書（様式１２）</w:t>
      </w:r>
    </w:p>
    <w:p>
      <w:pPr>
        <w:pStyle w:val="0"/>
        <w:numPr>
          <w:numId w:val="0"/>
        </w:numPr>
        <w:ind w:left="360" w:leftChars="0" w:firstLine="0" w:firstLineChars="0"/>
        <w:rPr>
          <w:rFonts w:hint="eastAsia" w:ascii="ＭＳ ゴシック" w:hAnsi="ＭＳ ゴシック" w:eastAsia="ＭＳ ゴシック"/>
          <w:b w:val="0"/>
          <w:color w:val="auto"/>
        </w:rPr>
      </w:pPr>
      <w:r>
        <w:rPr>
          <w:rFonts w:hint="eastAsia" w:ascii="ＭＳ ゴシック" w:hAnsi="ＭＳ ゴシック" w:eastAsia="ＭＳ ゴシック"/>
          <w:b w:val="0"/>
          <w:color w:val="auto"/>
        </w:rPr>
        <w:t>○以下の選定項目に関する添付書類</w:t>
      </w:r>
    </w:p>
    <w:tbl>
      <w:tblPr>
        <w:tblStyle w:val="44"/>
        <w:tblW w:w="0" w:type="auto"/>
        <w:tblInd w:w="415" w:type="dxa"/>
        <w:tblLayout w:type="fixed"/>
        <w:tblLook w:firstRow="1" w:lastRow="0" w:firstColumn="1" w:lastColumn="0" w:noHBand="0" w:noVBand="1" w:val="04A0"/>
      </w:tblPr>
      <w:tblGrid>
        <w:gridCol w:w="3570"/>
        <w:gridCol w:w="5087"/>
      </w:tblGrid>
      <w:tr>
        <w:trPr/>
        <w:tc>
          <w:tcPr>
            <w:tcW w:w="3570" w:type="dxa"/>
            <w:vAlign w:val="top"/>
          </w:tcPr>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１　事業所運営の基本方針</w:t>
            </w:r>
          </w:p>
        </w:tc>
        <w:tc>
          <w:tcPr>
            <w:tcW w:w="5087" w:type="dxa"/>
            <w:vAlign w:val="top"/>
          </w:tcPr>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様式４</w:t>
            </w:r>
          </w:p>
        </w:tc>
      </w:tr>
      <w:tr>
        <w:trPr/>
        <w:tc>
          <w:tcPr>
            <w:tcW w:w="3570" w:type="dxa"/>
            <w:vAlign w:val="top"/>
          </w:tcPr>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２　法令等の遵守</w:t>
            </w:r>
          </w:p>
        </w:tc>
        <w:tc>
          <w:tcPr>
            <w:tcW w:w="5087" w:type="dxa"/>
            <w:vAlign w:val="top"/>
          </w:tcPr>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様式５</w:t>
            </w:r>
          </w:p>
        </w:tc>
      </w:tr>
      <w:tr>
        <w:trPr/>
        <w:tc>
          <w:tcPr>
            <w:tcW w:w="3570" w:type="dxa"/>
            <w:vAlign w:val="top"/>
          </w:tcPr>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３　運営実績</w:t>
            </w:r>
          </w:p>
        </w:tc>
        <w:tc>
          <w:tcPr>
            <w:tcW w:w="5087" w:type="dxa"/>
            <w:vAlign w:val="top"/>
          </w:tcPr>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様式６</w:t>
            </w:r>
          </w:p>
        </w:tc>
      </w:tr>
      <w:tr>
        <w:trPr/>
        <w:tc>
          <w:tcPr>
            <w:tcW w:w="3570" w:type="dxa"/>
            <w:vAlign w:val="top"/>
          </w:tcPr>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４　人材確保・人材育成等</w:t>
            </w:r>
          </w:p>
        </w:tc>
        <w:tc>
          <w:tcPr>
            <w:tcW w:w="5087" w:type="dxa"/>
            <w:vAlign w:val="top"/>
          </w:tcPr>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様式７、様式１１－１及び１１－２経歴書</w:t>
            </w:r>
          </w:p>
        </w:tc>
      </w:tr>
      <w:tr>
        <w:trPr/>
        <w:tc>
          <w:tcPr>
            <w:tcW w:w="3570" w:type="dxa"/>
            <w:vAlign w:val="top"/>
          </w:tcPr>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５　運営管理</w:t>
            </w:r>
          </w:p>
        </w:tc>
        <w:tc>
          <w:tcPr>
            <w:tcW w:w="5087" w:type="dxa"/>
            <w:vAlign w:val="top"/>
          </w:tcPr>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様式８</w:t>
            </w:r>
          </w:p>
        </w:tc>
      </w:tr>
      <w:tr>
        <w:trPr/>
        <w:tc>
          <w:tcPr>
            <w:tcW w:w="3570" w:type="dxa"/>
            <w:vAlign w:val="top"/>
          </w:tcPr>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６　利用者への対応</w:t>
            </w:r>
          </w:p>
        </w:tc>
        <w:tc>
          <w:tcPr>
            <w:tcW w:w="5087" w:type="dxa"/>
            <w:vAlign w:val="top"/>
          </w:tcPr>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様式９</w:t>
            </w:r>
          </w:p>
        </w:tc>
      </w:tr>
      <w:tr>
        <w:trPr/>
        <w:tc>
          <w:tcPr>
            <w:tcW w:w="3570" w:type="dxa"/>
            <w:vAlign w:val="top"/>
          </w:tcPr>
          <w:p>
            <w:pPr>
              <w:pStyle w:val="0"/>
              <w:rPr>
                <w:rFonts w:hint="eastAsia"/>
              </w:rPr>
            </w:pPr>
            <w:r>
              <w:rPr>
                <w:rFonts w:hint="eastAsia" w:ascii="ＭＳ ゴシック" w:hAnsi="ＭＳ ゴシック" w:eastAsia="ＭＳ ゴシック"/>
                <w:color w:val="auto"/>
              </w:rPr>
              <w:t>７　整備計画調書</w:t>
            </w:r>
          </w:p>
        </w:tc>
        <w:tc>
          <w:tcPr>
            <w:tcW w:w="5087" w:type="dxa"/>
            <w:vAlign w:val="top"/>
          </w:tcPr>
          <w:p>
            <w:pPr>
              <w:pStyle w:val="0"/>
              <w:rPr>
                <w:rFonts w:hint="eastAsia"/>
              </w:rPr>
            </w:pPr>
            <w:r>
              <w:rPr>
                <w:rFonts w:hint="eastAsia" w:ascii="ＭＳ ゴシック" w:hAnsi="ＭＳ ゴシック" w:eastAsia="ＭＳ ゴシック"/>
                <w:color w:val="auto"/>
              </w:rPr>
              <w:t>様式３</w:t>
            </w:r>
          </w:p>
        </w:tc>
      </w:tr>
      <w:tr>
        <w:trPr/>
        <w:tc>
          <w:tcPr>
            <w:tcW w:w="3570" w:type="dxa"/>
            <w:vAlign w:val="top"/>
          </w:tcPr>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８　事業の適正な運営</w:t>
            </w:r>
          </w:p>
        </w:tc>
        <w:tc>
          <w:tcPr>
            <w:tcW w:w="5087" w:type="dxa"/>
            <w:vAlign w:val="top"/>
          </w:tcPr>
          <w:p>
            <w:pPr>
              <w:pStyle w:val="0"/>
              <w:rPr>
                <w:rFonts w:hint="eastAsia" w:ascii="ＭＳ ゴシック" w:hAnsi="ＭＳ ゴシック" w:eastAsia="ＭＳ ゴシック"/>
                <w:color w:val="auto"/>
              </w:rPr>
            </w:pPr>
            <w:r>
              <w:rPr>
                <w:rFonts w:hint="eastAsia" w:ascii="ＭＳ ゴシック" w:hAnsi="ＭＳ ゴシック" w:eastAsia="ＭＳ ゴシック"/>
                <w:color w:val="auto"/>
              </w:rPr>
              <w:t>様式１０</w:t>
            </w:r>
          </w:p>
        </w:tc>
      </w:tr>
    </w:tbl>
    <w:p>
      <w:pPr>
        <w:pStyle w:val="0"/>
        <w:numPr>
          <w:numId w:val="0"/>
        </w:numPr>
        <w:ind w:left="360" w:leftChars="0" w:firstLine="0" w:firstLineChars="0"/>
        <w:rPr>
          <w:rFonts w:hint="eastAsia" w:ascii="ＭＳ ゴシック" w:hAnsi="ＭＳ ゴシック" w:eastAsia="ＭＳ ゴシック"/>
          <w:b w:val="0"/>
          <w:color w:val="auto"/>
        </w:rPr>
      </w:pPr>
    </w:p>
    <w:p>
      <w:pPr>
        <w:pStyle w:val="0"/>
        <w:ind w:left="422" w:hanging="422" w:hangingChars="200"/>
        <w:rPr>
          <w:rFonts w:hint="eastAsia" w:ascii="ＭＳ ゴシック" w:hAnsi="ＭＳ ゴシック" w:eastAsia="ＭＳ ゴシック"/>
          <w:b w:val="1"/>
          <w:color w:val="auto"/>
        </w:rPr>
      </w:pPr>
      <w:r>
        <w:rPr>
          <w:rFonts w:hint="eastAsia" w:ascii="ＭＳ ゴシック" w:hAnsi="ＭＳ ゴシック" w:eastAsia="ＭＳ ゴシック"/>
          <w:b w:val="1"/>
          <w:color w:val="auto"/>
        </w:rPr>
        <w:t>７　募集内容に関する質問</w:t>
      </w:r>
    </w:p>
    <w:p>
      <w:pPr>
        <w:pStyle w:val="0"/>
        <w:ind w:left="210" w:leftChars="100" w:firstLine="210" w:firstLineChars="100"/>
        <w:jc w:val="left"/>
        <w:rPr>
          <w:rFonts w:hint="eastAsia" w:ascii="ＭＳ ゴシック" w:hAnsi="ＭＳ ゴシック" w:eastAsia="ＭＳ ゴシック"/>
          <w:color w:val="auto"/>
        </w:rPr>
      </w:pPr>
      <w:r>
        <w:rPr>
          <w:rFonts w:hint="eastAsia" w:ascii="ＭＳ ゴシック" w:hAnsi="ＭＳ ゴシック" w:eastAsia="ＭＳ ゴシック"/>
          <w:color w:val="auto"/>
        </w:rPr>
        <w:t>応募に関する質問は、「別紙１質問書」により電子メールにより次のとおり受け付けます。</w:t>
      </w:r>
    </w:p>
    <w:p>
      <w:pPr>
        <w:pStyle w:val="0"/>
        <w:ind w:left="210" w:leftChars="100" w:firstLine="210" w:firstLineChars="100"/>
        <w:jc w:val="left"/>
        <w:rPr>
          <w:rFonts w:hint="eastAsia" w:ascii="ＭＳ ゴシック" w:hAnsi="ＭＳ ゴシック" w:eastAsia="ＭＳ ゴシック"/>
          <w:color w:val="auto"/>
        </w:rPr>
      </w:pPr>
      <w:r>
        <w:rPr>
          <w:rFonts w:hint="eastAsia" w:ascii="ＭＳ ゴシック" w:hAnsi="ＭＳ ゴシック" w:eastAsia="ＭＳ ゴシック"/>
          <w:color w:val="auto"/>
        </w:rPr>
        <w:t>なお、質問書を電子メールで送信される場合は、件名に『地域密着型事業者募集』と入力してください。</w:t>
      </w:r>
    </w:p>
    <w:p>
      <w:pPr>
        <w:pStyle w:val="0"/>
        <w:ind w:firstLine="105" w:firstLineChars="50"/>
        <w:jc w:val="left"/>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(1)  </w:t>
      </w:r>
      <w:r>
        <w:rPr>
          <w:rFonts w:hint="eastAsia" w:ascii="ＭＳ ゴシック" w:hAnsi="ＭＳ ゴシック" w:eastAsia="ＭＳ ゴシック"/>
          <w:color w:val="auto"/>
        </w:rPr>
        <w:t>受付期間　令和７年１０月２３日（木）から令和７年１１月１４日（金）まで</w:t>
      </w:r>
    </w:p>
    <w:p>
      <w:pPr>
        <w:pStyle w:val="0"/>
        <w:ind w:firstLine="105" w:firstLineChars="50"/>
        <w:jc w:val="left"/>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(2)  </w:t>
      </w:r>
      <w:r>
        <w:rPr>
          <w:rFonts w:hint="eastAsia" w:ascii="ＭＳ ゴシック" w:hAnsi="ＭＳ ゴシック" w:eastAsia="ＭＳ ゴシック"/>
          <w:color w:val="auto"/>
        </w:rPr>
        <w:t>受付時間</w:t>
      </w:r>
      <w:r>
        <w:rPr>
          <w:rFonts w:hint="eastAsia" w:ascii="ＭＳ ゴシック" w:hAnsi="ＭＳ ゴシック" w:eastAsia="ＭＳ ゴシック"/>
          <w:color w:val="auto"/>
        </w:rPr>
        <w:t xml:space="preserve">  </w:t>
      </w:r>
      <w:r>
        <w:rPr>
          <w:rFonts w:hint="eastAsia" w:ascii="ＭＳ ゴシック" w:hAnsi="ＭＳ ゴシック" w:eastAsia="ＭＳ ゴシック"/>
          <w:color w:val="auto"/>
        </w:rPr>
        <w:t>９時から１７時まで（ただし、土曜・日曜・祝日は除きます。）</w:t>
      </w:r>
    </w:p>
    <w:p>
      <w:pPr>
        <w:pStyle w:val="0"/>
        <w:ind w:left="420" w:leftChars="100" w:hanging="210" w:hangingChars="100"/>
        <w:jc w:val="left"/>
        <w:rPr>
          <w:rFonts w:hint="eastAsia" w:ascii="ＭＳ ゴシック" w:hAnsi="ＭＳ ゴシック" w:eastAsia="ＭＳ ゴシック"/>
          <w:color w:val="auto"/>
        </w:rPr>
      </w:pPr>
      <w:r>
        <w:rPr>
          <w:rFonts w:hint="eastAsia" w:ascii="ＭＳ ゴシック" w:hAnsi="ＭＳ ゴシック" w:eastAsia="ＭＳ ゴシック"/>
          <w:color w:val="auto"/>
        </w:rPr>
        <w:t>※質問に対する回答は、令和７年１１月２１日（金）までに随時、電子メール等で回答します。質問により募集内容の変更が生じた場合は、廿日市市ホームページに掲載し、順次更新します。</w:t>
      </w:r>
    </w:p>
    <w:tbl>
      <w:tblPr>
        <w:tblStyle w:val="44"/>
        <w:tblW w:w="0" w:type="auto"/>
        <w:tblInd w:w="415" w:type="dxa"/>
        <w:tblLayout w:type="fixed"/>
        <w:tblLook w:firstRow="1" w:lastRow="0" w:firstColumn="1" w:lastColumn="0" w:noHBand="0" w:noVBand="1" w:val="04A0"/>
      </w:tblPr>
      <w:tblGrid>
        <w:gridCol w:w="8655"/>
      </w:tblGrid>
      <w:tr>
        <w:trPr/>
        <w:tc>
          <w:tcPr>
            <w:tcW w:w="8655" w:type="dxa"/>
            <w:vAlign w:val="top"/>
          </w:tcPr>
          <w:p>
            <w:pPr>
              <w:pStyle w:val="0"/>
              <w:ind w:firstLine="211" w:firstLineChars="100"/>
              <w:jc w:val="left"/>
              <w:rPr>
                <w:rFonts w:hint="eastAsia" w:ascii="ＭＳ ゴシック" w:hAnsi="ＭＳ ゴシック" w:eastAsia="ＭＳ ゴシック"/>
                <w:b w:val="1"/>
                <w:color w:val="auto"/>
              </w:rPr>
            </w:pPr>
            <w:r>
              <w:rPr>
                <w:rFonts w:hint="eastAsia" w:ascii="ＭＳ ゴシック" w:hAnsi="ＭＳ ゴシック" w:eastAsia="ＭＳ ゴシック"/>
                <w:b w:val="1"/>
                <w:color w:val="auto"/>
              </w:rPr>
              <w:t>●問い合わせ先</w:t>
            </w:r>
            <w:r>
              <w:rPr>
                <w:rFonts w:hint="eastAsia" w:ascii="ＭＳ ゴシック" w:hAnsi="ＭＳ ゴシック" w:eastAsia="ＭＳ ゴシック"/>
                <w:b w:val="1"/>
                <w:color w:val="auto"/>
              </w:rPr>
              <w:t xml:space="preserve">  </w:t>
            </w:r>
            <w:r>
              <w:rPr>
                <w:rFonts w:hint="eastAsia" w:ascii="ＭＳ ゴシック" w:hAnsi="ＭＳ ゴシック" w:eastAsia="ＭＳ ゴシック"/>
                <w:b w:val="1"/>
                <w:color w:val="auto"/>
              </w:rPr>
              <w:t>高齢介護課</w:t>
            </w:r>
            <w:r>
              <w:rPr>
                <w:rFonts w:hint="eastAsia" w:ascii="ＭＳ ゴシック" w:hAnsi="ＭＳ ゴシック" w:eastAsia="ＭＳ ゴシック"/>
                <w:b w:val="1"/>
                <w:color w:val="auto"/>
              </w:rPr>
              <w:t xml:space="preserve">  </w:t>
            </w:r>
            <w:r>
              <w:rPr>
                <w:rFonts w:hint="eastAsia" w:ascii="ＭＳ ゴシック" w:hAnsi="ＭＳ ゴシック" w:eastAsia="ＭＳ ゴシック"/>
                <w:b w:val="1"/>
                <w:color w:val="auto"/>
              </w:rPr>
              <w:t>介護保険係</w:t>
            </w:r>
          </w:p>
          <w:p>
            <w:pPr>
              <w:pStyle w:val="0"/>
              <w:ind w:left="0" w:leftChars="0" w:firstLine="420" w:firstLineChars="200"/>
              <w:jc w:val="left"/>
              <w:rPr>
                <w:rFonts w:hint="default" w:ascii="ＭＳ ゴシック" w:hAnsi="ＭＳ ゴシック" w:eastAsia="ＭＳ ゴシック"/>
                <w:b w:val="1"/>
                <w:color w:val="auto"/>
              </w:rPr>
            </w:pPr>
            <w:r>
              <w:rPr>
                <w:rFonts w:hint="eastAsia" w:ascii="ＭＳ ゴシック" w:hAnsi="ＭＳ ゴシック" w:eastAsia="ＭＳ ゴシック"/>
                <w:b w:val="1"/>
                <w:color w:val="auto"/>
              </w:rPr>
              <w:t>TEL</w:t>
            </w:r>
            <w:r>
              <w:rPr>
                <w:rFonts w:hint="eastAsia" w:ascii="ＭＳ ゴシック" w:hAnsi="ＭＳ ゴシック" w:eastAsia="ＭＳ ゴシック"/>
                <w:b w:val="1"/>
                <w:color w:val="auto"/>
              </w:rPr>
              <w:t>　０８２９－３０－９１５５　</w:t>
            </w:r>
            <w:r>
              <w:rPr>
                <w:rFonts w:hint="eastAsia" w:ascii="ＭＳ ゴシック" w:hAnsi="ＭＳ ゴシック" w:eastAsia="ＭＳ ゴシック"/>
                <w:b w:val="1"/>
                <w:color w:val="auto"/>
              </w:rPr>
              <w:t xml:space="preserve">   FAX</w:t>
            </w:r>
            <w:r>
              <w:rPr>
                <w:rFonts w:hint="eastAsia" w:ascii="ＭＳ ゴシック" w:hAnsi="ＭＳ ゴシック" w:eastAsia="ＭＳ ゴシック"/>
                <w:b w:val="1"/>
                <w:color w:val="auto"/>
              </w:rPr>
              <w:t>　０８２９－２０－１６１１</w:t>
            </w:r>
          </w:p>
          <w:p>
            <w:pPr>
              <w:pStyle w:val="0"/>
              <w:rPr>
                <w:rFonts w:hint="eastAsia" w:ascii="ＭＳ ゴシック" w:hAnsi="ＭＳ ゴシック" w:eastAsia="ＭＳ ゴシック"/>
                <w:color w:val="auto"/>
              </w:rPr>
            </w:pPr>
            <w:r>
              <w:rPr>
                <w:rFonts w:hint="eastAsia" w:ascii="ＭＳ ゴシック" w:hAnsi="ＭＳ ゴシック" w:eastAsia="ＭＳ ゴシック"/>
                <w:b w:val="1"/>
                <w:color w:val="auto"/>
              </w:rPr>
              <w:t>　　</w:t>
            </w:r>
            <w:r>
              <w:rPr>
                <w:rFonts w:hint="eastAsia" w:ascii="ＭＳ ゴシック" w:hAnsi="ＭＳ ゴシック" w:eastAsia="ＭＳ ゴシック"/>
                <w:b w:val="1"/>
                <w:color w:val="auto"/>
              </w:rPr>
              <w:t>e-mail</w:t>
            </w:r>
            <w:r>
              <w:rPr>
                <w:rFonts w:hint="eastAsia" w:ascii="ＭＳ ゴシック" w:hAnsi="ＭＳ ゴシック" w:eastAsia="ＭＳ ゴシック"/>
                <w:b w:val="1"/>
                <w:color w:val="auto"/>
              </w:rPr>
              <w:t>　</w:t>
            </w:r>
            <w:r>
              <w:rPr>
                <w:rFonts w:hint="eastAsia" w:ascii="ＭＳ ゴシック" w:hAnsi="ＭＳ ゴシック" w:eastAsia="ＭＳ ゴシック"/>
                <w:b w:val="1"/>
                <w:color w:val="auto"/>
              </w:rPr>
              <w:t>koreikaigo@city.hatsukaichi.lg.jp</w:t>
            </w:r>
          </w:p>
        </w:tc>
      </w:tr>
    </w:tbl>
    <w:p>
      <w:pPr>
        <w:pStyle w:val="0"/>
        <w:numPr>
          <w:numId w:val="0"/>
        </w:numPr>
        <w:ind w:left="360" w:leftChars="0" w:firstLine="0" w:firstLineChars="0"/>
        <w:rPr>
          <w:rFonts w:hint="eastAsia" w:ascii="ＭＳ ゴシック" w:hAnsi="ＭＳ ゴシック" w:eastAsia="ＭＳ ゴシック"/>
          <w:b w:val="0"/>
          <w:color w:val="auto"/>
        </w:rPr>
      </w:pPr>
    </w:p>
    <w:p>
      <w:pPr>
        <w:pStyle w:val="0"/>
        <w:ind w:left="422" w:hanging="422" w:hangingChars="200"/>
        <w:rPr>
          <w:rFonts w:hint="eastAsia" w:ascii="ＭＳ ゴシック" w:hAnsi="ＭＳ ゴシック" w:eastAsia="ＭＳ ゴシック"/>
          <w:b w:val="1"/>
          <w:color w:val="auto"/>
        </w:rPr>
      </w:pPr>
      <w:r>
        <w:rPr>
          <w:rFonts w:hint="eastAsia" w:ascii="ＭＳ ゴシック" w:hAnsi="ＭＳ ゴシック" w:eastAsia="ＭＳ ゴシック"/>
          <w:b w:val="1"/>
          <w:color w:val="auto"/>
        </w:rPr>
        <w:t>８　選定後の手続き</w:t>
      </w:r>
    </w:p>
    <w:p>
      <w:pPr>
        <w:pStyle w:val="0"/>
        <w:ind w:left="210" w:leftChars="100" w:firstLine="210" w:firstLineChars="100"/>
        <w:rPr>
          <w:rFonts w:hint="eastAsia" w:ascii="ＭＳ ゴシック" w:hAnsi="ＭＳ ゴシック" w:eastAsia="ＭＳ ゴシック"/>
          <w:b w:val="0"/>
          <w:color w:val="auto"/>
        </w:rPr>
      </w:pPr>
      <w:r>
        <w:rPr>
          <w:rFonts w:hint="eastAsia" w:ascii="ＭＳ ゴシック" w:hAnsi="ＭＳ ゴシック" w:eastAsia="ＭＳ ゴシック"/>
          <w:b w:val="0"/>
          <w:color w:val="auto"/>
        </w:rPr>
        <w:t>新規整備（サテライト型を含む。）に係る整備運営事業者選定通知書の交付を受けた整備運営事業者は、事業所の整備を行うとともに、人員の確保等を行い、選定された事業計画を満たした段階で、本市に対して指定申請を行うことができます。なお、令和８年度末（令和９年４月１日指定を含む。）までに事業が開始できるよう指定申請を行う必要があります。</w:t>
      </w:r>
    </w:p>
    <w:p>
      <w:pPr>
        <w:pStyle w:val="0"/>
        <w:ind w:left="210" w:leftChars="100" w:firstLine="210" w:firstLineChars="100"/>
        <w:rPr>
          <w:rFonts w:hint="eastAsia" w:ascii="ＭＳ ゴシック" w:hAnsi="ＭＳ ゴシック" w:eastAsia="ＭＳ ゴシック"/>
          <w:b w:val="1"/>
          <w:color w:val="auto"/>
        </w:rPr>
      </w:pPr>
      <w:r>
        <w:rPr>
          <w:rFonts w:hint="eastAsia" w:ascii="ＭＳ ゴシック" w:hAnsi="ＭＳ ゴシック" w:eastAsia="ＭＳ ゴシック"/>
          <w:b w:val="0"/>
          <w:color w:val="auto"/>
        </w:rPr>
        <w:t>本市は、指定申請の内容について審査し、適切と判断した場合には、介護保険法に規定する所定の手続きを経た後、指定事業者として指定します。</w:t>
      </w:r>
    </w:p>
    <w:p>
      <w:pPr>
        <w:pStyle w:val="0"/>
        <w:ind w:leftChars="0" w:firstLineChars="0"/>
        <w:rPr>
          <w:rFonts w:hint="eastAsia" w:ascii="ＭＳ ゴシック" w:hAnsi="ＭＳ ゴシック" w:eastAsia="ＭＳ ゴシック"/>
          <w:color w:val="auto"/>
        </w:rPr>
      </w:pPr>
      <w:r>
        <w:rPr>
          <w:rFonts w:hint="eastAsia" w:ascii="ＭＳ ゴシック" w:hAnsi="ＭＳ ゴシック" w:eastAsia="ＭＳ ゴシック"/>
          <w:b w:val="0"/>
          <w:color w:val="auto"/>
        </w:rPr>
        <w:t xml:space="preserve"> </w:t>
      </w:r>
    </w:p>
    <w:p>
      <w:pPr>
        <w:pStyle w:val="0"/>
        <w:rPr>
          <w:rFonts w:hint="eastAsia" w:ascii="ＭＳ ゴシック" w:hAnsi="ＭＳ ゴシック" w:eastAsia="ＭＳ ゴシック"/>
          <w:b w:val="1"/>
          <w:color w:val="auto"/>
        </w:rPr>
      </w:pPr>
      <w:r>
        <w:rPr>
          <w:rFonts w:hint="eastAsia" w:ascii="ＭＳ ゴシック" w:hAnsi="ＭＳ ゴシック" w:eastAsia="ＭＳ ゴシック"/>
          <w:b w:val="1"/>
          <w:color w:val="auto"/>
        </w:rPr>
        <mc:AlternateContent>
          <mc:Choice Requires="wps">
            <w:drawing>
              <wp:anchor simplePos="0" relativeHeight="2" behindDoc="0" locked="0" layoutInCell="1" hidden="0" allowOverlap="1">
                <wp:simplePos x="0" y="0"/>
                <wp:positionH relativeFrom="column">
                  <wp:posOffset>-1576705</wp:posOffset>
                </wp:positionH>
                <wp:positionV relativeFrom="paragraph">
                  <wp:posOffset>147320</wp:posOffset>
                </wp:positionV>
                <wp:extent cx="114300" cy="11430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114300" cy="114300"/>
                        </a:xfrm>
                        <a:prstGeom prst="ellipse">
                          <a:avLst/>
                        </a:prstGeom>
                        <a:solidFill>
                          <a:srgbClr val="FFFFFF"/>
                        </a:solidFill>
                        <a:ln w="9525">
                          <a:solidFill>
                            <a:sysClr val="windowText" lastClr="000000"/>
                          </a:solidFill>
                        </a:ln>
                      </wps:spPr>
                      <wps:bodyPr/>
                    </wps:wsp>
                  </a:graphicData>
                </a:graphic>
              </wp:anchor>
            </w:drawing>
          </mc:Choice>
          <mc:Fallback>
            <w:pict>
              <v:oval id="オブジェクト 0" style="margin-top:11.6pt;mso-position-vertical-relative:text;mso-position-horizontal-relative:text;position:absolute;height:9pt;width:9pt;margin-left:-124.15pt;z-index:2;" o:spid="_x0000_s1026" o:allowincell="t" o:allowoverlap="t" filled="t" fillcolor="#ffffff" stroked="t" strokecolor="#000000" strokeweight="0.75pt" o:spt="3">
                <v:fill/>
                <v:stroke filltype="solid"/>
                <v:textbox style="layout-flow:horizontal;"/>
                <v:imagedata o:title=""/>
                <w10:wrap type="none" anchorx="text" anchory="text"/>
              </v:oval>
            </w:pict>
          </mc:Fallback>
        </mc:AlternateContent>
      </w:r>
      <w:r>
        <w:rPr>
          <w:rFonts w:hint="eastAsia" w:ascii="ＭＳ ゴシック" w:hAnsi="ＭＳ ゴシック" w:eastAsia="ＭＳ ゴシック"/>
          <w:b w:val="1"/>
          <w:color w:val="auto"/>
        </w:rPr>
        <w:t>９</w:t>
      </w:r>
      <w:r>
        <w:rPr>
          <w:rFonts w:hint="eastAsia" w:ascii="ＭＳ ゴシック" w:hAnsi="ＭＳ ゴシック" w:eastAsia="ＭＳ ゴシック"/>
          <w:b w:val="1"/>
          <w:color w:val="auto"/>
        </w:rPr>
        <w:t xml:space="preserve">  </w:t>
      </w:r>
      <w:r>
        <w:rPr>
          <w:rFonts w:hint="eastAsia" w:ascii="ＭＳ ゴシック" w:hAnsi="ＭＳ ゴシック" w:eastAsia="ＭＳ ゴシック"/>
          <w:b w:val="1"/>
          <w:color w:val="auto"/>
        </w:rPr>
        <w:t>留意事項</w:t>
      </w:r>
    </w:p>
    <w:p>
      <w:pPr>
        <w:pStyle w:val="0"/>
        <w:ind w:firstLine="105" w:firstLineChars="50"/>
        <w:rPr>
          <w:rFonts w:hint="eastAsia" w:ascii="ＭＳ ゴシック" w:hAnsi="ＭＳ ゴシック" w:eastAsia="ＭＳ ゴシック"/>
          <w:color w:val="auto"/>
        </w:rPr>
      </w:pPr>
      <w:r>
        <w:rPr>
          <w:rFonts w:hint="eastAsia" w:ascii="ＭＳ ゴシック" w:hAnsi="ＭＳ ゴシック" w:eastAsia="ＭＳ ゴシック"/>
          <w:color w:val="auto"/>
        </w:rPr>
        <w:t>(1)</w:t>
      </w:r>
      <w:r>
        <w:rPr>
          <w:rFonts w:hint="eastAsia" w:ascii="ＭＳ ゴシック" w:hAnsi="ＭＳ ゴシック" w:eastAsia="ＭＳ ゴシック"/>
          <w:color w:val="auto"/>
        </w:rPr>
        <w:t>　応募について</w:t>
      </w:r>
    </w:p>
    <w:p>
      <w:pPr>
        <w:pStyle w:val="0"/>
        <w:ind w:left="0" w:leftChars="0" w:hanging="630" w:hangingChars="300"/>
        <w:rPr>
          <w:rFonts w:hint="eastAsia" w:ascii="ＭＳ ゴシック" w:hAnsi="ＭＳ ゴシック" w:eastAsia="ＭＳ ゴシック"/>
          <w:color w:val="auto"/>
          <w:highlight w:val="none"/>
        </w:rPr>
      </w:pPr>
      <w:r>
        <w:rPr>
          <w:rFonts w:hint="eastAsia" w:ascii="ＭＳ ゴシック" w:hAnsi="ＭＳ ゴシック" w:eastAsia="ＭＳ ゴシック"/>
          <w:color w:val="auto"/>
        </w:rPr>
        <w:t>　　ア　事業所の建物を新規整備する場合、事業計画書提出後に本市職員が整備予定地の現地調査を行いますので、あらかじめ現在の土地所有者の承諾を得て、</w:t>
      </w:r>
      <w:r>
        <w:rPr>
          <w:rFonts w:hint="eastAsia" w:ascii="ＭＳ ゴシック" w:hAnsi="ＭＳ ゴシック" w:eastAsia="ＭＳ ゴシック"/>
          <w:color w:val="auto"/>
          <w:highlight w:val="none"/>
        </w:rPr>
        <w:t>「土地立入承諾書」（様式１２）を提出してください。</w:t>
      </w:r>
    </w:p>
    <w:p>
      <w:pPr>
        <w:pStyle w:val="0"/>
        <w:ind w:left="0" w:leftChars="0" w:firstLine="420" w:firstLineChars="200"/>
        <w:rPr>
          <w:rFonts w:hint="eastAsia" w:ascii="ＭＳ ゴシック" w:hAnsi="ＭＳ ゴシック" w:eastAsia="ＭＳ ゴシック"/>
          <w:color w:val="auto"/>
          <w:highlight w:val="none"/>
        </w:rPr>
      </w:pPr>
      <w:r>
        <w:rPr>
          <w:rFonts w:hint="eastAsia" w:ascii="ＭＳ ゴシック" w:hAnsi="ＭＳ ゴシック" w:eastAsia="ＭＳ ゴシック"/>
          <w:color w:val="auto"/>
          <w:highlight w:val="none"/>
        </w:rPr>
        <w:t>イ　応募の際に要する費用は、応募者の負担とし、提出された書類は、返却しません。</w:t>
      </w:r>
    </w:p>
    <w:p>
      <w:pPr>
        <w:pStyle w:val="0"/>
        <w:ind w:left="630" w:leftChars="200" w:hanging="210" w:hangingChars="100"/>
        <w:rPr>
          <w:rFonts w:hint="eastAsia" w:ascii="ＭＳ ゴシック" w:hAnsi="ＭＳ ゴシック" w:eastAsia="ＭＳ ゴシック"/>
          <w:color w:val="auto"/>
          <w:highlight w:val="none"/>
        </w:rPr>
      </w:pPr>
      <w:r>
        <w:rPr>
          <w:rFonts w:hint="eastAsia" w:ascii="ＭＳ ゴシック" w:hAnsi="ＭＳ ゴシック" w:eastAsia="ＭＳ ゴシック"/>
          <w:color w:val="auto"/>
          <w:highlight w:val="none"/>
        </w:rPr>
        <w:t>ウ　応募者が応募に当たって、特許権、実用新案権その他法令に基づいて保護されている権　　　利を侵害し、第三者に損害を与えたときは、その責任の一切を応募者が負うこととします。</w:t>
      </w:r>
    </w:p>
    <w:p>
      <w:pPr>
        <w:pStyle w:val="0"/>
        <w:ind w:left="630" w:leftChars="200" w:hanging="210" w:hangingChars="100"/>
        <w:rPr>
          <w:rFonts w:hint="eastAsia" w:ascii="ＭＳ ゴシック" w:hAnsi="ＭＳ ゴシック" w:eastAsia="ＭＳ ゴシック"/>
          <w:color w:val="auto"/>
          <w:highlight w:val="none"/>
        </w:rPr>
      </w:pPr>
      <w:r>
        <w:rPr>
          <w:rFonts w:hint="eastAsia" w:ascii="ＭＳ ゴシック" w:hAnsi="ＭＳ ゴシック" w:eastAsia="ＭＳ ゴシック"/>
          <w:color w:val="auto"/>
          <w:highlight w:val="none"/>
        </w:rPr>
        <w:t>エ　応募者から提出された事業計画書を総合的に評価した上で整備運営事業者の選定を行いますので、事業計画書の提出をもって、指定事業者として指定されることを保証するものではありませんので、ご留意ください。</w:t>
      </w:r>
    </w:p>
    <w:p>
      <w:pPr>
        <w:pStyle w:val="0"/>
        <w:ind w:left="630" w:leftChars="200" w:hanging="210" w:hangingChars="100"/>
        <w:rPr>
          <w:rFonts w:hint="eastAsia" w:ascii="ＭＳ ゴシック" w:hAnsi="ＭＳ ゴシック" w:eastAsia="ＭＳ ゴシック"/>
          <w:color w:val="auto"/>
        </w:rPr>
      </w:pPr>
      <w:r>
        <w:rPr>
          <w:rFonts w:hint="eastAsia" w:ascii="ＭＳ ゴシック" w:hAnsi="ＭＳ ゴシック" w:eastAsia="ＭＳ ゴシック"/>
          <w:color w:val="auto"/>
          <w:highlight w:val="none"/>
        </w:rPr>
        <w:t>オ　暴力団排除に係る適否判定基準については、対象者の氏名、生年月日等の個人情報に基づき、広島県警察本部にその該当の有無を照会します。</w:t>
      </w:r>
    </w:p>
    <w:p>
      <w:pPr>
        <w:pStyle w:val="0"/>
        <w:ind w:left="630" w:leftChars="200" w:hanging="210" w:hangingChars="100"/>
        <w:rPr>
          <w:rFonts w:hint="eastAsia" w:ascii="ＭＳ ゴシック" w:hAnsi="ＭＳ ゴシック" w:eastAsia="ＭＳ ゴシック"/>
          <w:color w:val="auto"/>
        </w:rPr>
      </w:pPr>
      <w:r>
        <w:rPr>
          <w:rFonts w:hint="eastAsia" w:ascii="ＭＳ ゴシック" w:hAnsi="ＭＳ ゴシック" w:eastAsia="ＭＳ ゴシック"/>
          <w:color w:val="auto"/>
        </w:rPr>
        <w:t>カ　応募時点において、正当な理由なく当該サービスの人員、設備及び運営に関する基準を満たしていない事業所を運営している法人は、本公募に応募できません。</w:t>
      </w:r>
    </w:p>
    <w:p>
      <w:pPr>
        <w:pStyle w:val="0"/>
        <w:ind w:leftChars="0" w:firstLineChars="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 (2)</w:t>
      </w:r>
      <w:r>
        <w:rPr>
          <w:rFonts w:hint="eastAsia" w:ascii="ＭＳ ゴシック" w:hAnsi="ＭＳ ゴシック" w:eastAsia="ＭＳ ゴシック"/>
          <w:color w:val="auto"/>
        </w:rPr>
        <w:t>　事業計画書の遵守について</w:t>
      </w:r>
    </w:p>
    <w:p>
      <w:pPr>
        <w:pStyle w:val="0"/>
        <w:ind w:left="0" w:leftChars="0" w:hanging="420" w:hangingChars="200"/>
        <w:rPr>
          <w:rFonts w:hint="eastAsia" w:ascii="ＭＳ ゴシック" w:hAnsi="ＭＳ ゴシック" w:eastAsia="ＭＳ ゴシック"/>
          <w:color w:val="auto"/>
        </w:rPr>
      </w:pPr>
      <w:r>
        <w:rPr>
          <w:rFonts w:hint="eastAsia" w:ascii="ＭＳ ゴシック" w:hAnsi="ＭＳ ゴシック" w:eastAsia="ＭＳ ゴシック"/>
          <w:color w:val="auto"/>
        </w:rPr>
        <w:t>　　　事業計画書に記載された内容で評価に影響を与えるものは、原則として１０年間は遵守して運営してください。</w:t>
      </w:r>
    </w:p>
    <w:p>
      <w:pPr>
        <w:pStyle w:val="0"/>
        <w:ind w:left="0" w:leftChars="0" w:hanging="420" w:hangingChars="20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 (3)</w:t>
      </w:r>
      <w:r>
        <w:rPr>
          <w:rFonts w:hint="eastAsia" w:ascii="ＭＳ ゴシック" w:hAnsi="ＭＳ ゴシック" w:eastAsia="ＭＳ ゴシック"/>
          <w:color w:val="auto"/>
        </w:rPr>
        <w:t>　選定取消しについて</w:t>
      </w:r>
    </w:p>
    <w:p>
      <w:pPr>
        <w:pStyle w:val="0"/>
        <w:ind w:left="630" w:leftChars="200" w:hanging="210" w:hangingChars="100"/>
        <w:rPr>
          <w:rFonts w:hint="eastAsia" w:ascii="ＭＳ ゴシック" w:hAnsi="ＭＳ ゴシック" w:eastAsia="ＭＳ ゴシック"/>
          <w:color w:val="auto"/>
        </w:rPr>
      </w:pPr>
      <w:r>
        <w:rPr>
          <w:rFonts w:hint="eastAsia" w:ascii="ＭＳ ゴシック" w:hAnsi="ＭＳ ゴシック" w:eastAsia="ＭＳ ゴシック"/>
          <w:color w:val="auto"/>
        </w:rPr>
        <w:t>ア　整備運営事業者として選定された後においても、事業計画書について、虚偽の記載又は事実と相違する記載があったことが判明した場合や、事業所を整備する上で必要な許可等が取得できないなど令和８年度末（令和９年４月１日指定を含む）までに介護保険法に規定する指定を受けることが困難と見込まれる場合、又は設置運営主体の適否判定上「否」と判断される事態が判明した場合、選定を取り消すことがあります。</w:t>
      </w:r>
    </w:p>
    <w:p>
      <w:pPr>
        <w:pStyle w:val="0"/>
        <w:ind w:left="630" w:leftChars="200" w:hanging="210" w:hangingChars="100"/>
        <w:rPr>
          <w:rFonts w:hint="eastAsia" w:ascii="ＭＳ ゴシック" w:hAnsi="ＭＳ ゴシック" w:eastAsia="ＭＳ ゴシック"/>
          <w:color w:val="auto"/>
        </w:rPr>
      </w:pPr>
      <w:r>
        <w:rPr>
          <w:rFonts w:hint="eastAsia" w:ascii="ＭＳ ゴシック" w:hAnsi="ＭＳ ゴシック" w:eastAsia="ＭＳ ゴシック"/>
          <w:color w:val="auto"/>
        </w:rPr>
        <w:t>イ　整備運営事業者として選定された後の事業計画書の変更については、建物の実施設計に伴うものなど、本市がやむを得ないと認めた場合のみ、可能とします。ただし、整備予定地や、この募集に係る評価に影響を与える変更は、原則、認めません。</w:t>
      </w:r>
    </w:p>
    <w:p>
      <w:pPr>
        <w:pStyle w:val="0"/>
        <w:ind w:left="630" w:leftChars="300" w:firstLine="210" w:firstLineChars="100"/>
        <w:rPr>
          <w:rFonts w:hint="eastAsia" w:ascii="ＭＳ ゴシック" w:hAnsi="ＭＳ ゴシック" w:eastAsia="ＭＳ ゴシック"/>
          <w:color w:val="auto"/>
        </w:rPr>
      </w:pPr>
      <w:r>
        <w:rPr>
          <w:rFonts w:hint="eastAsia" w:ascii="ＭＳ ゴシック" w:hAnsi="ＭＳ ゴシック" w:eastAsia="ＭＳ ゴシック"/>
          <w:color w:val="auto"/>
        </w:rPr>
        <w:t>こうした事態が発生した場合は、選定を取り消すことがありますので、十分注意してください。</w:t>
      </w:r>
    </w:p>
    <w:p>
      <w:pPr>
        <w:pStyle w:val="0"/>
        <w:ind w:left="630" w:leftChars="200" w:hanging="210" w:hangingChars="100"/>
        <w:rPr>
          <w:rFonts w:hint="eastAsia" w:ascii="ＭＳ ゴシック" w:hAnsi="ＭＳ ゴシック" w:eastAsia="ＭＳ ゴシック"/>
          <w:color w:val="auto"/>
        </w:rPr>
      </w:pPr>
      <w:r>
        <w:rPr>
          <w:rFonts w:hint="eastAsia" w:ascii="ＭＳ ゴシック" w:hAnsi="ＭＳ ゴシック" w:eastAsia="ＭＳ ゴシック"/>
          <w:color w:val="auto"/>
        </w:rPr>
        <w:t>ウ　整備運営事業者の選定が取消しとなった場合、応募者が要した経費その他応募者が要した負担について、本市は一切負担しません。</w:t>
      </w:r>
    </w:p>
    <w:p>
      <w:pPr>
        <w:pStyle w:val="0"/>
        <w:ind w:left="630" w:leftChars="200" w:hanging="210" w:hangingChars="100"/>
        <w:rPr>
          <w:rFonts w:hint="eastAsia" w:ascii="ＭＳ ゴシック" w:hAnsi="ＭＳ ゴシック" w:eastAsia="ＭＳ ゴシック"/>
          <w:color w:val="auto"/>
        </w:rPr>
      </w:pPr>
      <w:r>
        <w:rPr>
          <w:rFonts w:hint="eastAsia" w:ascii="ＭＳ ゴシック" w:hAnsi="ＭＳ ゴシック" w:eastAsia="ＭＳ ゴシック"/>
          <w:color w:val="auto"/>
        </w:rPr>
        <w:t>エ　令和９年４月１日までに運営を開始すること。正当な理由なく、令和９年４月１日までに事業着手が出来ない場合は選定を取り消すことがあります。</w:t>
      </w:r>
    </w:p>
    <w:p>
      <w:pPr>
        <w:pStyle w:val="0"/>
        <w:ind w:leftChars="0" w:firstLineChars="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 (4)</w:t>
      </w:r>
      <w:r>
        <w:rPr>
          <w:rFonts w:hint="eastAsia" w:ascii="ＭＳ ゴシック" w:hAnsi="ＭＳ ゴシック" w:eastAsia="ＭＳ ゴシック"/>
          <w:color w:val="auto"/>
        </w:rPr>
        <w:t>　選定取消し等に基づく応募停止期間について</w:t>
      </w:r>
    </w:p>
    <w:p>
      <w:pPr>
        <w:pStyle w:val="0"/>
        <w:ind w:left="420" w:leftChars="200" w:firstLine="210" w:firstLineChars="100"/>
        <w:rPr>
          <w:rFonts w:hint="eastAsia" w:ascii="ＭＳ ゴシック" w:hAnsi="ＭＳ ゴシック" w:eastAsia="ＭＳ ゴシック"/>
          <w:color w:val="auto"/>
        </w:rPr>
      </w:pPr>
      <w:r>
        <w:rPr>
          <w:rFonts w:hint="eastAsia" w:ascii="ＭＳ ゴシック" w:hAnsi="ＭＳ ゴシック" w:eastAsia="ＭＳ ゴシック"/>
          <w:color w:val="auto"/>
        </w:rPr>
        <w:t>整備運営事業者として選定されたにもかかわらず、選定を取り消された者又は正当な理由なく辞退した者は、選定を取り消された日又は辞退した日から起算して３年間、本市の地域密着型サービス事業者の募集に応募できません。</w:t>
      </w:r>
    </w:p>
    <w:p>
      <w:pPr>
        <w:pStyle w:val="0"/>
        <w:ind w:left="0" w:leftChars="0" w:hanging="420" w:hangingChars="20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 (5)</w:t>
      </w:r>
      <w:r>
        <w:rPr>
          <w:rFonts w:hint="eastAsia" w:ascii="ＭＳ ゴシック" w:hAnsi="ＭＳ ゴシック" w:eastAsia="ＭＳ ゴシック"/>
          <w:color w:val="auto"/>
        </w:rPr>
        <w:t>　整備予定地について</w:t>
      </w:r>
    </w:p>
    <w:p>
      <w:pPr>
        <w:pStyle w:val="0"/>
        <w:ind w:left="630" w:leftChars="200" w:hanging="210" w:hangingChars="100"/>
        <w:rPr>
          <w:rFonts w:hint="eastAsia" w:ascii="ＭＳ ゴシック" w:hAnsi="ＭＳ ゴシック" w:eastAsia="ＭＳ ゴシック"/>
          <w:color w:val="auto"/>
        </w:rPr>
      </w:pPr>
      <w:r>
        <w:rPr>
          <w:rFonts w:hint="eastAsia" w:ascii="ＭＳ ゴシック" w:hAnsi="ＭＳ ゴシック" w:eastAsia="ＭＳ ゴシック"/>
          <w:color w:val="auto"/>
        </w:rPr>
        <w:t>ア　整備予定地及び事業所の建物が、借地又は借家の場合は、契約書又は賃貸借確約書を提出してください。</w:t>
      </w:r>
    </w:p>
    <w:p>
      <w:pPr>
        <w:pStyle w:val="0"/>
        <w:ind w:left="630" w:leftChars="200" w:hanging="210" w:hangingChars="100"/>
        <w:rPr>
          <w:rFonts w:hint="eastAsia" w:ascii="ＭＳ ゴシック" w:hAnsi="ＭＳ ゴシック" w:eastAsia="ＭＳ ゴシック"/>
          <w:color w:val="auto"/>
        </w:rPr>
      </w:pPr>
      <w:r>
        <w:rPr>
          <w:rFonts w:hint="eastAsia" w:ascii="ＭＳ ゴシック" w:hAnsi="ＭＳ ゴシック" w:eastAsia="ＭＳ ゴシック"/>
          <w:color w:val="auto"/>
        </w:rPr>
        <w:t>イ　整備予定地については、当該土地に事業所存続の支障となりうるような権利設定がない、又はその権利の抹消が確実であることを確認するため、土地の登記事項証明書を提出してください。</w:t>
      </w:r>
    </w:p>
    <w:p>
      <w:pPr>
        <w:pStyle w:val="0"/>
        <w:ind w:left="630" w:leftChars="200" w:hanging="210" w:hangingChars="100"/>
        <w:rPr>
          <w:rFonts w:hint="eastAsia" w:ascii="ＭＳ ゴシック" w:hAnsi="ＭＳ ゴシック" w:eastAsia="ＭＳ ゴシック"/>
          <w:color w:val="auto"/>
        </w:rPr>
      </w:pPr>
      <w:r>
        <w:rPr>
          <w:rFonts w:hint="eastAsia" w:ascii="ＭＳ ゴシック" w:hAnsi="ＭＳ ゴシック" w:eastAsia="ＭＳ ゴシック"/>
          <w:color w:val="auto"/>
        </w:rPr>
        <w:t>ウ　用地を新たに購入する場合又は用地を整地する必要がある場合は、当該費用についても確実な資金計画を立てることとし、挙証資料（預金残高証明書、融資見込証明書（事業計画書提出日前１か月以内に金融機関が発行したもの。以下同じ。））を提出してください。</w:t>
      </w:r>
    </w:p>
    <w:p>
      <w:pPr>
        <w:pStyle w:val="0"/>
        <w:ind w:left="630" w:leftChars="200" w:hanging="210" w:hangingChars="100"/>
        <w:rPr>
          <w:rFonts w:hint="eastAsia" w:ascii="ＭＳ ゴシック" w:hAnsi="ＭＳ ゴシック" w:eastAsia="ＭＳ ゴシック"/>
          <w:color w:val="auto"/>
        </w:rPr>
      </w:pPr>
      <w:r>
        <w:rPr>
          <w:rFonts w:hint="eastAsia" w:ascii="ＭＳ ゴシック" w:hAnsi="ＭＳ ゴシック" w:eastAsia="ＭＳ ゴシック"/>
          <w:color w:val="auto"/>
        </w:rPr>
        <w:t>エ　定期借地権の設定による借地を認めますが、借地権の存続期間が５０年以上の一般定期借地権に限ります。</w:t>
      </w:r>
    </w:p>
    <w:p>
      <w:pPr>
        <w:pStyle w:val="0"/>
        <w:ind w:left="0" w:leftChars="0" w:firstLineChars="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 (6)</w:t>
      </w:r>
      <w:r>
        <w:rPr>
          <w:rFonts w:hint="eastAsia" w:ascii="ＭＳ ゴシック" w:hAnsi="ＭＳ ゴシック" w:eastAsia="ＭＳ ゴシック"/>
          <w:color w:val="auto"/>
        </w:rPr>
        <w:t>　資金計画について</w:t>
      </w:r>
    </w:p>
    <w:p>
      <w:pPr>
        <w:pStyle w:val="0"/>
        <w:ind w:left="420" w:leftChars="200" w:firstLine="0" w:firstLineChars="0"/>
        <w:rPr>
          <w:rFonts w:hint="eastAsia" w:ascii="ＭＳ ゴシック" w:hAnsi="ＭＳ ゴシック" w:eastAsia="ＭＳ ゴシック"/>
          <w:color w:val="auto"/>
        </w:rPr>
      </w:pPr>
      <w:r>
        <w:rPr>
          <w:rFonts w:hint="eastAsia" w:ascii="ＭＳ ゴシック" w:hAnsi="ＭＳ ゴシック" w:eastAsia="ＭＳ ゴシック"/>
          <w:color w:val="auto"/>
        </w:rPr>
        <w:t>ア　建設に係る自己資金</w:t>
      </w:r>
    </w:p>
    <w:p>
      <w:pPr>
        <w:pStyle w:val="0"/>
        <w:ind w:left="840" w:leftChars="200" w:hanging="420" w:hangingChars="20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 (</w:t>
      </w:r>
      <w:r>
        <w:rPr>
          <w:rFonts w:hint="eastAsia" w:ascii="ＭＳ ゴシック" w:hAnsi="ＭＳ ゴシック" w:eastAsia="ＭＳ ゴシック"/>
          <w:color w:val="auto"/>
        </w:rPr>
        <w:t>ｱ</w:t>
      </w:r>
      <w:r>
        <w:rPr>
          <w:rFonts w:hint="eastAsia" w:ascii="ＭＳ ゴシック" w:hAnsi="ＭＳ ゴシック" w:eastAsia="ＭＳ ゴシック"/>
          <w:color w:val="auto"/>
        </w:rPr>
        <w:t>)</w:t>
      </w:r>
      <w:r>
        <w:rPr>
          <w:rFonts w:hint="eastAsia" w:ascii="ＭＳ ゴシック" w:hAnsi="ＭＳ ゴシック" w:eastAsia="ＭＳ ゴシック"/>
          <w:color w:val="auto"/>
        </w:rPr>
        <w:t>　新設法人については、自己資金に係る確保状況を確認するため、預金残高証明書及び　　融資見込証明書を提出してください。</w:t>
      </w:r>
    </w:p>
    <w:p>
      <w:pPr>
        <w:pStyle w:val="0"/>
        <w:ind w:left="840" w:leftChars="200" w:hanging="420" w:hangingChars="20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 (</w:t>
      </w:r>
      <w:r>
        <w:rPr>
          <w:rFonts w:hint="eastAsia" w:ascii="ＭＳ ゴシック" w:hAnsi="ＭＳ ゴシック" w:eastAsia="ＭＳ ゴシック"/>
          <w:color w:val="auto"/>
        </w:rPr>
        <w:t>ｲ</w:t>
      </w:r>
      <w:r>
        <w:rPr>
          <w:rFonts w:hint="eastAsia" w:ascii="ＭＳ ゴシック" w:hAnsi="ＭＳ ゴシック" w:eastAsia="ＭＳ ゴシック"/>
          <w:color w:val="auto"/>
        </w:rPr>
        <w:t>)</w:t>
      </w:r>
      <w:r>
        <w:rPr>
          <w:rFonts w:hint="eastAsia" w:ascii="ＭＳ ゴシック" w:hAnsi="ＭＳ ゴシック" w:eastAsia="ＭＳ ゴシック"/>
          <w:color w:val="auto"/>
        </w:rPr>
        <w:t>　既存法人については、直近３期分の決算書類を提出してください。なお、決算書類に記載されていない資産売却等による現金、普通預金又は当座預金等の確保があった場合には、その挙証資料（預金残高証明書等）を添付してください。</w:t>
      </w:r>
    </w:p>
    <w:p>
      <w:pPr>
        <w:pStyle w:val="0"/>
        <w:ind w:left="420" w:leftChars="200" w:firstLine="0" w:firstLineChars="0"/>
        <w:rPr>
          <w:rFonts w:hint="eastAsia" w:ascii="ＭＳ ゴシック" w:hAnsi="ＭＳ ゴシック" w:eastAsia="ＭＳ ゴシック"/>
          <w:color w:val="auto"/>
        </w:rPr>
      </w:pPr>
      <w:r>
        <w:rPr>
          <w:rFonts w:hint="eastAsia" w:ascii="ＭＳ ゴシック" w:hAnsi="ＭＳ ゴシック" w:eastAsia="ＭＳ ゴシック"/>
          <w:color w:val="auto"/>
        </w:rPr>
        <w:t>イ　事業開始後の資金計画</w:t>
      </w:r>
    </w:p>
    <w:p>
      <w:pPr>
        <w:pStyle w:val="0"/>
        <w:ind w:left="630" w:leftChars="300" w:firstLine="210" w:firstLineChars="100"/>
        <w:rPr>
          <w:rFonts w:hint="eastAsia" w:ascii="ＭＳ ゴシック" w:hAnsi="ＭＳ ゴシック" w:eastAsia="ＭＳ ゴシック"/>
          <w:color w:val="auto"/>
        </w:rPr>
      </w:pPr>
      <w:r>
        <w:rPr>
          <w:rFonts w:hint="eastAsia" w:ascii="ＭＳ ゴシック" w:hAnsi="ＭＳ ゴシック" w:eastAsia="ＭＳ ゴシック"/>
          <w:color w:val="auto"/>
        </w:rPr>
        <w:t>事業開始後の資金計画における収入については介護報酬や利用料収入等を適切に算出するとともに、支出については人件費等について適切に算出してください。</w:t>
      </w:r>
    </w:p>
    <w:p>
      <w:pPr>
        <w:pStyle w:val="0"/>
        <w:ind w:left="630" w:leftChars="300" w:firstLine="210" w:firstLineChars="100"/>
        <w:rPr>
          <w:rFonts w:hint="eastAsia" w:ascii="ＭＳ ゴシック" w:hAnsi="ＭＳ ゴシック" w:eastAsia="ＭＳ ゴシック"/>
          <w:b w:val="0"/>
          <w:color w:val="auto"/>
          <w:u w:val="none" w:color="auto"/>
        </w:rPr>
      </w:pPr>
      <w:r>
        <w:rPr>
          <w:rFonts w:hint="eastAsia" w:ascii="ＭＳ ゴシック" w:hAnsi="ＭＳ ゴシック" w:eastAsia="ＭＳ ゴシック"/>
          <w:color w:val="auto"/>
        </w:rPr>
        <w:t>なお、</w:t>
      </w:r>
      <w:r>
        <w:rPr>
          <w:rFonts w:hint="eastAsia" w:ascii="ＭＳ ゴシック" w:hAnsi="ＭＳ ゴシック" w:eastAsia="ＭＳ ゴシック"/>
          <w:b w:val="1"/>
          <w:color w:val="auto"/>
          <w:u w:val="single" w:color="000000"/>
        </w:rPr>
        <w:t>広島県の「地域医療介護総合確保事業」の交付対象となる場合がありますが、応募に当たっては、当該補助金の交付を見込まずに資金計画を作成してください。</w:t>
      </w:r>
      <w:r>
        <w:rPr>
          <w:rFonts w:hint="eastAsia" w:ascii="ＭＳ ゴシック" w:hAnsi="ＭＳ ゴシック" w:eastAsia="ＭＳ ゴシック"/>
          <w:b w:val="0"/>
          <w:color w:val="auto"/>
          <w:u w:val="none" w:color="000000"/>
        </w:rPr>
        <w:t>また、本市独自の補助はありません。</w:t>
      </w:r>
    </w:p>
    <w:p>
      <w:pPr>
        <w:pStyle w:val="0"/>
        <w:ind w:left="420" w:leftChars="200" w:firstLine="0" w:firstLineChars="0"/>
        <w:rPr>
          <w:rFonts w:hint="eastAsia" w:ascii="ＭＳ ゴシック" w:hAnsi="ＭＳ ゴシック" w:eastAsia="ＭＳ ゴシック"/>
          <w:color w:val="auto"/>
        </w:rPr>
      </w:pPr>
      <w:r>
        <w:rPr>
          <w:rFonts w:hint="eastAsia" w:ascii="ＭＳ ゴシック" w:hAnsi="ＭＳ ゴシック" w:eastAsia="ＭＳ ゴシック"/>
          <w:color w:val="auto"/>
        </w:rPr>
        <w:t>ウ　借入金</w:t>
      </w:r>
    </w:p>
    <w:p>
      <w:pPr>
        <w:pStyle w:val="0"/>
        <w:ind w:left="630" w:leftChars="300" w:firstLine="210" w:firstLineChars="100"/>
        <w:rPr>
          <w:rFonts w:hint="eastAsia" w:ascii="ＭＳ ゴシック" w:hAnsi="ＭＳ ゴシック" w:eastAsia="ＭＳ ゴシック"/>
          <w:color w:val="auto"/>
        </w:rPr>
      </w:pPr>
      <w:r>
        <w:rPr>
          <w:rFonts w:hint="eastAsia" w:ascii="ＭＳ ゴシック" w:hAnsi="ＭＳ ゴシック" w:eastAsia="ＭＳ ゴシック"/>
          <w:color w:val="auto"/>
        </w:rPr>
        <w:t>償還計画は、利用者から徴収する居住費等から償還することを原則とし、収入から償還できる額の範囲内で借入れを行ってください。</w:t>
      </w:r>
    </w:p>
    <w:p>
      <w:pPr>
        <w:pStyle w:val="0"/>
        <w:ind w:leftChars="0" w:firstLineChars="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 (7)</w:t>
      </w:r>
      <w:r>
        <w:rPr>
          <w:rFonts w:hint="eastAsia" w:ascii="ＭＳ ゴシック" w:hAnsi="ＭＳ ゴシック" w:eastAsia="ＭＳ ゴシック"/>
          <w:color w:val="auto"/>
        </w:rPr>
        <w:t>　地元への説明等情報提供等について</w:t>
      </w:r>
    </w:p>
    <w:p>
      <w:pPr>
        <w:pStyle w:val="0"/>
        <w:ind w:left="420" w:leftChars="200" w:firstLine="210" w:firstLineChars="100"/>
        <w:rPr>
          <w:rFonts w:hint="eastAsia" w:ascii="ＭＳ ゴシック" w:hAnsi="ＭＳ ゴシック" w:eastAsia="ＭＳ ゴシック"/>
          <w:color w:val="auto"/>
        </w:rPr>
      </w:pPr>
      <w:r>
        <w:rPr>
          <w:rFonts w:hint="eastAsia" w:ascii="ＭＳ ゴシック" w:hAnsi="ＭＳ ゴシック" w:eastAsia="ＭＳ ゴシック"/>
          <w:color w:val="auto"/>
        </w:rPr>
        <w:t>この事業の運営に当たっては、地域住民との連携及び協力が必要です。審査前までに地元説明会を行い、その結果及び状況について、任意の様式により提出してください。</w:t>
      </w:r>
    </w:p>
    <w:p>
      <w:pPr>
        <w:pStyle w:val="0"/>
        <w:ind w:left="420" w:leftChars="200" w:firstLine="210" w:firstLineChars="100"/>
        <w:rPr>
          <w:rFonts w:hint="eastAsia" w:ascii="ＭＳ ゴシック" w:hAnsi="ＭＳ ゴシック" w:eastAsia="ＭＳ ゴシック"/>
          <w:color w:val="auto"/>
        </w:rPr>
      </w:pPr>
      <w:r>
        <w:rPr>
          <w:rFonts w:hint="eastAsia" w:ascii="ＭＳ ゴシック" w:hAnsi="ＭＳ ゴシック" w:eastAsia="ＭＳ ゴシック"/>
          <w:color w:val="auto"/>
        </w:rPr>
        <w:t>説明の対象は、隣接地主及び整備予定地のある町内会（事業所の設置に伴い影響を受けると見込まれる周辺町内会も含む）とします。</w:t>
      </w:r>
    </w:p>
    <w:p>
      <w:pPr>
        <w:pStyle w:val="0"/>
        <w:ind w:left="420" w:leftChars="200" w:firstLine="210" w:firstLineChars="100"/>
        <w:rPr>
          <w:rFonts w:hint="eastAsia" w:ascii="ＭＳ ゴシック" w:hAnsi="ＭＳ ゴシック" w:eastAsia="ＭＳ ゴシック"/>
          <w:color w:val="auto"/>
        </w:rPr>
      </w:pPr>
      <w:r>
        <w:rPr>
          <w:rFonts w:hint="eastAsia" w:ascii="ＭＳ ゴシック" w:hAnsi="ＭＳ ゴシック" w:eastAsia="ＭＳ ゴシック"/>
          <w:color w:val="auto"/>
        </w:rPr>
        <w:t>また、事業者として選定後は速やかに、選定後の地元説明会を行ってください。</w:t>
      </w:r>
    </w:p>
    <w:p>
      <w:pPr>
        <w:pStyle w:val="0"/>
        <w:ind w:left="420" w:leftChars="200" w:firstLine="210" w:firstLineChars="100"/>
        <w:rPr>
          <w:rFonts w:hint="eastAsia" w:ascii="ＭＳ ゴシック" w:hAnsi="ＭＳ ゴシック" w:eastAsia="ＭＳ ゴシック"/>
          <w:color w:val="auto"/>
        </w:rPr>
      </w:pPr>
      <w:r>
        <w:rPr>
          <w:rFonts w:hint="eastAsia" w:ascii="ＭＳ ゴシック" w:hAnsi="ＭＳ ゴシック" w:eastAsia="ＭＳ ゴシック"/>
          <w:color w:val="auto"/>
        </w:rPr>
        <w:t>事業開始後、家族や地域住民との交流の機会を確保し、利用者の社会との結びつきを確保するとともに、地域住民に配慮した運営を行い、良好な関係を築くよう努めること。地域住民からの要望に対しては、誠実に対応すること。</w:t>
      </w:r>
    </w:p>
    <w:p>
      <w:pPr>
        <w:pStyle w:val="0"/>
        <w:tabs>
          <w:tab w:val="left" w:leader="none" w:pos="630"/>
        </w:tabs>
        <w:ind w:left="0" w:leftChars="0" w:hanging="420" w:hangingChars="20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 (8)</w:t>
      </w:r>
      <w:r>
        <w:rPr>
          <w:rFonts w:hint="eastAsia" w:ascii="ＭＳ ゴシック" w:hAnsi="ＭＳ ゴシック" w:eastAsia="ＭＳ ゴシック"/>
          <w:color w:val="auto"/>
        </w:rPr>
        <w:t>　関係法令等の遵守について</w:t>
      </w:r>
    </w:p>
    <w:p>
      <w:pPr>
        <w:pStyle w:val="0"/>
        <w:ind w:left="630" w:leftChars="200" w:hanging="210" w:hangingChars="100"/>
        <w:rPr>
          <w:rFonts w:hint="eastAsia" w:ascii="ＭＳ ゴシック" w:hAnsi="ＭＳ ゴシック" w:eastAsia="ＭＳ ゴシック"/>
          <w:color w:val="auto"/>
        </w:rPr>
      </w:pPr>
      <w:r>
        <w:rPr>
          <w:rFonts w:hint="eastAsia" w:ascii="ＭＳ ゴシック" w:hAnsi="ＭＳ ゴシック" w:eastAsia="ＭＳ ゴシック"/>
          <w:color w:val="auto"/>
        </w:rPr>
        <w:t>ア　事業計画書は、関係法令等（都市計画法、建築基準法、老人福祉法、介護保険法、廿日市市指定地域密着型サービスの事業の人員、設備及び運営に関する基準を定める条例等）に適合する必要があります。</w:t>
      </w:r>
    </w:p>
    <w:p>
      <w:pPr>
        <w:pStyle w:val="0"/>
        <w:ind w:left="630" w:leftChars="200" w:hanging="210" w:hangingChars="100"/>
        <w:rPr>
          <w:rFonts w:hint="eastAsia" w:ascii="ＭＳ ゴシック" w:hAnsi="ＭＳ ゴシック" w:eastAsia="ＭＳ ゴシック"/>
          <w:color w:val="auto"/>
        </w:rPr>
      </w:pPr>
      <w:r>
        <w:rPr>
          <w:rFonts w:hint="eastAsia" w:ascii="ＭＳ ゴシック" w:hAnsi="ＭＳ ゴシック" w:eastAsia="ＭＳ ゴシック"/>
          <w:color w:val="auto"/>
        </w:rPr>
        <w:t>イ　都市計画法に基づく開発行為等の許可を要する場合がありますので、建設部都市計画課（</w:t>
      </w:r>
      <w:r>
        <w:rPr>
          <w:rFonts w:hint="eastAsia" w:ascii="ＭＳ ゴシック" w:hAnsi="ＭＳ ゴシック" w:eastAsia="ＭＳ ゴシック"/>
          <w:color w:val="auto"/>
        </w:rPr>
        <w:t>0829-30-9194</w:t>
      </w:r>
      <w:r>
        <w:rPr>
          <w:rFonts w:hint="eastAsia" w:ascii="ＭＳ ゴシック" w:hAnsi="ＭＳ ゴシック" w:eastAsia="ＭＳ ゴシック"/>
          <w:color w:val="auto"/>
        </w:rPr>
        <w:t>）にお問い合わせください。</w:t>
      </w:r>
    </w:p>
    <w:p>
      <w:pPr>
        <w:pStyle w:val="0"/>
        <w:ind w:left="630" w:leftChars="200" w:hanging="210" w:hangingChars="100"/>
        <w:rPr>
          <w:rFonts w:hint="eastAsia" w:ascii="ＭＳ ゴシック" w:hAnsi="ＭＳ ゴシック" w:eastAsia="ＭＳ ゴシック"/>
          <w:color w:val="auto"/>
        </w:rPr>
      </w:pPr>
      <w:r>
        <w:rPr>
          <w:rFonts w:hint="eastAsia" w:ascii="ＭＳ ゴシック" w:hAnsi="ＭＳ ゴシック" w:eastAsia="ＭＳ ゴシック"/>
          <w:color w:val="auto"/>
        </w:rPr>
        <w:t>ウ　「広島県福祉のまちづくり条例」に基づき、事前協議書の提出が必要となります。詳細については、建設部建築指導課（</w:t>
      </w:r>
      <w:r>
        <w:rPr>
          <w:rFonts w:hint="eastAsia" w:ascii="ＭＳ ゴシック" w:hAnsi="ＭＳ ゴシック" w:eastAsia="ＭＳ ゴシック"/>
          <w:color w:val="auto"/>
        </w:rPr>
        <w:t>0829-30-9191</w:t>
      </w:r>
      <w:r>
        <w:rPr>
          <w:rFonts w:hint="eastAsia" w:ascii="ＭＳ ゴシック" w:hAnsi="ＭＳ ゴシック" w:eastAsia="ＭＳ ゴシック"/>
          <w:color w:val="auto"/>
        </w:rPr>
        <w:t>）にお問い合わせください。</w:t>
      </w:r>
    </w:p>
    <w:p>
      <w:pPr>
        <w:pStyle w:val="0"/>
        <w:ind w:left="630" w:leftChars="200" w:hanging="210" w:hangingChars="100"/>
        <w:rPr>
          <w:rFonts w:hint="eastAsia" w:ascii="ＭＳ ゴシック" w:hAnsi="ＭＳ ゴシック" w:eastAsia="ＭＳ ゴシック"/>
          <w:color w:val="auto"/>
        </w:rPr>
      </w:pPr>
      <w:r>
        <w:rPr>
          <w:rFonts w:hint="eastAsia" w:ascii="ＭＳ ゴシック" w:hAnsi="ＭＳ ゴシック" w:eastAsia="ＭＳ ゴシック"/>
          <w:color w:val="auto"/>
        </w:rPr>
        <w:t>エ　既存の建築物を利用する場合には、当該建築物が、事業開始までに、いわゆる新耐震基準と同等の耐震性能を有することが必要です。当該建物が昭和５６年５月以前に建築確認を受けた建物である場合は、耐震診断結果の概要書を提出してください。耐震診断の結果、耐震に係る工事が必要な場合は、工事費用を整備資金に積算してください。</w:t>
      </w:r>
    </w:p>
    <w:p>
      <w:pPr>
        <w:pStyle w:val="0"/>
        <w:ind w:left="630" w:leftChars="300" w:firstLine="210" w:firstLineChars="100"/>
        <w:rPr>
          <w:rFonts w:hint="eastAsia" w:ascii="ＭＳ ゴシック" w:hAnsi="ＭＳ ゴシック" w:eastAsia="ＭＳ ゴシック"/>
          <w:color w:val="auto"/>
        </w:rPr>
      </w:pPr>
      <w:r>
        <w:rPr>
          <w:rFonts w:hint="eastAsia" w:ascii="ＭＳ ゴシック" w:hAnsi="ＭＳ ゴシック" w:eastAsia="ＭＳ ゴシック"/>
          <w:color w:val="auto"/>
        </w:rPr>
        <w:t>また、耐震に係る工事が必要な既存の建築物を利用する事業計画で事業者の選定を受けた場合、指定申請時に耐震化に係る工事の概要書及び耐震診断結果の提出を求めます。</w:t>
      </w:r>
    </w:p>
    <w:p>
      <w:pPr>
        <w:pStyle w:val="0"/>
        <w:tabs>
          <w:tab w:val="left" w:leader="none" w:pos="630"/>
        </w:tabs>
        <w:ind w:left="0" w:leftChars="0" w:firstLine="105" w:firstLineChars="5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(9)  </w:t>
      </w:r>
      <w:r>
        <w:rPr>
          <w:rFonts w:hint="eastAsia" w:ascii="ＭＳ ゴシック" w:hAnsi="ＭＳ ゴシック" w:eastAsia="ＭＳ ゴシック"/>
          <w:color w:val="auto"/>
        </w:rPr>
        <w:t>補助金（助成金）について</w:t>
      </w:r>
    </w:p>
    <w:p>
      <w:pPr>
        <w:pStyle w:val="0"/>
        <w:ind w:left="420" w:leftChars="100" w:hanging="210" w:hangingChars="100"/>
        <w:rPr>
          <w:rFonts w:hint="eastAsia" w:ascii="ＭＳ ゴシック" w:hAnsi="ＭＳ ゴシック" w:eastAsia="ＭＳ ゴシック"/>
          <w:color w:val="auto"/>
        </w:rPr>
      </w:pPr>
      <w:r>
        <w:rPr>
          <w:rFonts w:hint="eastAsia" w:ascii="ＭＳ ゴシック" w:hAnsi="ＭＳ ゴシック" w:eastAsia="ＭＳ ゴシック"/>
          <w:color w:val="auto"/>
        </w:rPr>
        <w:t>　　補助金について、地域密着型サービス等の整備に対し、地域医療介護総合確保基金（介護施設等整備事業）の補助金を充当する予定ですが、</w:t>
      </w:r>
      <w:r>
        <w:rPr>
          <w:rFonts w:hint="eastAsia" w:ascii="ＭＳ ゴシック" w:hAnsi="ＭＳ ゴシック" w:eastAsia="ＭＳ ゴシック"/>
          <w:color w:val="auto"/>
          <w:u w:val="single" w:color="auto"/>
        </w:rPr>
        <w:t>現段階で国及び県の予算の確約はありません</w:t>
      </w:r>
      <w:r>
        <w:rPr>
          <w:rFonts w:hint="eastAsia" w:ascii="ＭＳ ゴシック" w:hAnsi="ＭＳ ゴシック" w:eastAsia="ＭＳ ゴシック"/>
          <w:color w:val="auto"/>
        </w:rPr>
        <w:t>。</w:t>
      </w:r>
    </w:p>
    <w:p>
      <w:pPr>
        <w:pStyle w:val="0"/>
        <w:ind w:left="420" w:leftChars="100" w:hanging="210" w:hangingChars="100"/>
        <w:rPr>
          <w:rFonts w:hint="eastAsia" w:ascii="ＭＳ ゴシック" w:hAnsi="ＭＳ ゴシック" w:eastAsia="ＭＳ ゴシック"/>
          <w:color w:val="auto"/>
        </w:rPr>
      </w:pPr>
      <w:r>
        <w:rPr>
          <w:rFonts w:hint="eastAsia" w:ascii="ＭＳ ゴシック" w:hAnsi="ＭＳ ゴシック" w:eastAsia="ＭＳ ゴシック"/>
          <w:color w:val="auto"/>
        </w:rPr>
        <w:t>　　補助金の交付を希望する場合は、</w:t>
      </w:r>
      <w:r>
        <w:rPr>
          <w:rFonts w:hint="eastAsia" w:ascii="ＭＳ ゴシック" w:hAnsi="ＭＳ ゴシック" w:eastAsia="ＭＳ ゴシック"/>
          <w:color w:val="auto"/>
          <w:u w:val="single" w:color="auto"/>
        </w:rPr>
        <w:t>広島県からの内示をもって市が指示した日以降に工事を着工し、令和５年度中に工事が完了することが条件</w:t>
      </w:r>
      <w:r>
        <w:rPr>
          <w:rFonts w:hint="eastAsia" w:ascii="ＭＳ ゴシック" w:hAnsi="ＭＳ ゴシック" w:eastAsia="ＭＳ ゴシック"/>
          <w:color w:val="auto"/>
        </w:rPr>
        <w:t>となります。</w:t>
      </w:r>
    </w:p>
    <w:p>
      <w:pPr>
        <w:pStyle w:val="0"/>
        <w:ind w:left="420" w:leftChars="100" w:hanging="210" w:hangingChars="100"/>
        <w:rPr>
          <w:rFonts w:hint="eastAsia" w:ascii="ＭＳ ゴシック" w:hAnsi="ＭＳ ゴシック" w:eastAsia="ＭＳ ゴシック"/>
          <w:color w:val="auto"/>
        </w:rPr>
      </w:pPr>
      <w:r>
        <w:rPr>
          <w:rFonts w:hint="eastAsia" w:ascii="ＭＳ ゴシック" w:hAnsi="ＭＳ ゴシック" w:eastAsia="ＭＳ ゴシック"/>
          <w:color w:val="auto"/>
        </w:rPr>
        <w:t>　　整備を希望する事業者については、資金計画の策定に当たり、補助金等の不交付や減額等も念頭におき、十分に対応できる場合に限り応募するようにしてください。</w:t>
      </w:r>
    </w:p>
    <w:p>
      <w:pPr>
        <w:pStyle w:val="0"/>
        <w:ind w:firstLine="210" w:firstLineChars="100"/>
        <w:rPr>
          <w:rFonts w:hint="eastAsia" w:ascii="ＭＳ ゴシック" w:hAnsi="ＭＳ ゴシック" w:eastAsia="ＭＳ ゴシック"/>
          <w:b w:val="1"/>
          <w:color w:val="auto"/>
        </w:rPr>
      </w:pPr>
      <w:r>
        <w:rPr>
          <w:rFonts w:hint="eastAsia" w:ascii="ＭＳ ゴシック" w:hAnsi="ＭＳ ゴシック" w:eastAsia="ＭＳ ゴシック"/>
          <w:color w:val="auto"/>
        </w:rPr>
        <w:t>(10)</w:t>
      </w:r>
      <w:r>
        <w:rPr>
          <w:rFonts w:hint="eastAsia" w:ascii="ＭＳ ゴシック" w:hAnsi="ＭＳ ゴシック" w:eastAsia="ＭＳ ゴシック"/>
          <w:color w:val="auto"/>
        </w:rPr>
        <w:t>　利用者は、原則として廿日市市介護保険被保険者に限定してください。</w:t>
      </w:r>
    </w:p>
    <w:p>
      <w:pPr>
        <w:pStyle w:val="0"/>
        <w:rPr>
          <w:rFonts w:hint="eastAsia" w:ascii="ＭＳ ゴシック" w:hAnsi="ＭＳ ゴシック" w:eastAsia="ＭＳ ゴシック"/>
          <w:b w:val="1"/>
          <w:color w:val="auto"/>
        </w:rPr>
      </w:pPr>
      <w:r>
        <w:rPr>
          <w:rFonts w:hint="eastAsia" w:ascii="ＭＳ ゴシック" w:hAnsi="ＭＳ ゴシック" w:eastAsia="ＭＳ ゴシック"/>
          <w:b w:val="1"/>
          <w:color w:val="auto"/>
        </w:rPr>
        <w:t>10</w:t>
      </w:r>
      <w:r>
        <w:rPr>
          <w:rFonts w:hint="eastAsia" w:ascii="ＭＳ ゴシック" w:hAnsi="ＭＳ ゴシック" w:eastAsia="ＭＳ ゴシック"/>
          <w:b w:val="1"/>
          <w:color w:val="auto"/>
        </w:rPr>
        <w:t>　スケジュール</w:t>
      </w:r>
    </w:p>
    <w:tbl>
      <w:tblPr>
        <w:tblStyle w:val="11"/>
        <w:tblW w:w="903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247"/>
        <w:gridCol w:w="5783"/>
      </w:tblGrid>
      <w:tr>
        <w:trPr>
          <w:trHeight w:val="4026" w:hRule="atLeast"/>
        </w:trPr>
        <w:tc>
          <w:tcPr>
            <w:tcW w:w="324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0" w:lineRule="atLeast"/>
              <w:ind w:leftChars="0" w:firstLine="0" w:firstLineChars="0"/>
              <w:jc w:val="center"/>
              <w:rPr>
                <w:rFonts w:hint="eastAsia" w:ascii="ＭＳ ゴシック" w:hAnsi="ＭＳ ゴシック" w:eastAsia="ＭＳ ゴシック"/>
                <w:color w:val="auto"/>
              </w:rPr>
            </w:pPr>
            <w:r>
              <w:rPr>
                <w:rFonts w:hint="eastAsia" w:ascii="ＭＳ ゴシック" w:hAnsi="ＭＳ ゴシック" w:eastAsia="ＭＳ ゴシック"/>
                <w:color w:val="auto"/>
              </w:rPr>
              <w:t>令和７年１１月２０日（月）</w:t>
            </w:r>
          </w:p>
          <w:p>
            <w:pPr>
              <w:pStyle w:val="0"/>
              <w:spacing w:line="20" w:lineRule="atLeast"/>
              <w:jc w:val="center"/>
              <w:rPr>
                <w:rFonts w:hint="eastAsia" w:ascii="ＭＳ ゴシック" w:hAnsi="ＭＳ ゴシック" w:eastAsia="ＭＳ ゴシック"/>
                <w:color w:val="auto"/>
              </w:rPr>
            </w:pPr>
            <w:r>
              <w:rPr>
                <w:rFonts w:hint="eastAsia" w:ascii="ＭＳ ゴシック" w:hAnsi="ＭＳ ゴシック" w:eastAsia="ＭＳ ゴシック"/>
                <w:color w:val="auto"/>
              </w:rPr>
              <w:t>令和７年１１月２３日（木）</w:t>
            </w:r>
          </w:p>
          <w:p>
            <w:pPr>
              <w:pStyle w:val="0"/>
              <w:spacing w:line="20" w:lineRule="atLeast"/>
              <w:jc w:val="center"/>
              <w:rPr>
                <w:rFonts w:hint="eastAsia" w:ascii="ＭＳ ゴシック" w:hAnsi="ＭＳ ゴシック" w:eastAsia="ＭＳ ゴシック"/>
                <w:color w:val="auto"/>
              </w:rPr>
            </w:pPr>
            <w:r>
              <w:rPr>
                <w:rFonts w:hint="eastAsia" w:ascii="ＭＳ ゴシック" w:hAnsi="ＭＳ ゴシック" w:eastAsia="ＭＳ ゴシック"/>
                <w:color w:val="auto"/>
              </w:rPr>
              <w:t>↓</w:t>
            </w:r>
          </w:p>
          <w:p>
            <w:pPr>
              <w:pStyle w:val="0"/>
              <w:spacing w:line="20" w:lineRule="atLeast"/>
              <w:ind w:firstLine="105" w:firstLineChars="50"/>
              <w:rPr>
                <w:rFonts w:hint="eastAsia" w:ascii="ＭＳ ゴシック" w:hAnsi="ＭＳ ゴシック" w:eastAsia="ＭＳ ゴシック"/>
                <w:color w:val="auto"/>
              </w:rPr>
            </w:pPr>
            <w:r>
              <w:rPr>
                <w:rFonts w:hint="eastAsia" w:ascii="ＭＳ ゴシック" w:hAnsi="ＭＳ ゴシック" w:eastAsia="ＭＳ ゴシック"/>
                <w:color w:val="auto"/>
              </w:rPr>
              <w:t>令和７年１２月２日（火）</w:t>
            </w:r>
          </w:p>
          <w:p>
            <w:pPr>
              <w:pStyle w:val="0"/>
              <w:spacing w:line="20" w:lineRule="atLeast"/>
              <w:jc w:val="center"/>
              <w:rPr>
                <w:rFonts w:hint="eastAsia" w:ascii="ＭＳ ゴシック" w:hAnsi="ＭＳ ゴシック" w:eastAsia="ＭＳ ゴシック"/>
                <w:color w:val="auto"/>
              </w:rPr>
            </w:pPr>
            <w:r>
              <w:rPr>
                <w:rFonts w:hint="eastAsia" w:ascii="ＭＳ ゴシック" w:hAnsi="ＭＳ ゴシック" w:eastAsia="ＭＳ ゴシック"/>
                <w:color w:val="auto"/>
              </w:rPr>
              <w:t>↓</w:t>
            </w:r>
          </w:p>
          <w:p>
            <w:pPr>
              <w:pStyle w:val="0"/>
              <w:spacing w:line="20" w:lineRule="atLeast"/>
              <w:ind w:left="0" w:leftChars="0" w:firstLine="105" w:firstLineChars="50"/>
              <w:rPr>
                <w:rFonts w:hint="eastAsia" w:ascii="ＭＳ ゴシック" w:hAnsi="ＭＳ ゴシック" w:eastAsia="ＭＳ ゴシック"/>
                <w:color w:val="auto"/>
              </w:rPr>
            </w:pPr>
            <w:r>
              <w:rPr>
                <w:rFonts w:hint="eastAsia" w:ascii="ＭＳ ゴシック" w:hAnsi="ＭＳ ゴシック" w:eastAsia="ＭＳ ゴシック"/>
                <w:color w:val="auto"/>
              </w:rPr>
              <w:t>令和７年１２月下旬頃</w:t>
            </w:r>
          </w:p>
          <w:p>
            <w:pPr>
              <w:pStyle w:val="0"/>
              <w:spacing w:line="20" w:lineRule="atLeast"/>
              <w:jc w:val="center"/>
              <w:rPr>
                <w:rFonts w:hint="eastAsia" w:ascii="ＭＳ ゴシック" w:hAnsi="ＭＳ ゴシック" w:eastAsia="ＭＳ ゴシック"/>
                <w:color w:val="auto"/>
              </w:rPr>
            </w:pPr>
          </w:p>
          <w:p>
            <w:pPr>
              <w:pStyle w:val="0"/>
              <w:spacing w:line="20" w:lineRule="atLeast"/>
              <w:jc w:val="center"/>
              <w:rPr>
                <w:rFonts w:hint="eastAsia" w:ascii="ＭＳ ゴシック" w:hAnsi="ＭＳ ゴシック" w:eastAsia="ＭＳ ゴシック"/>
                <w:color w:val="auto"/>
              </w:rPr>
            </w:pPr>
            <w:r>
              <w:rPr>
                <w:rFonts w:hint="eastAsia" w:ascii="ＭＳ ゴシック" w:hAnsi="ＭＳ ゴシック" w:eastAsia="ＭＳ ゴシック"/>
                <w:color w:val="auto"/>
              </w:rPr>
              <w:t>↓</w:t>
            </w:r>
          </w:p>
          <w:p>
            <w:pPr>
              <w:pStyle w:val="0"/>
              <w:spacing w:line="20" w:lineRule="atLeast"/>
              <w:ind w:left="0" w:leftChars="0" w:firstLine="105" w:firstLineChars="50"/>
              <w:rPr>
                <w:rFonts w:hint="eastAsia" w:ascii="ＭＳ ゴシック" w:hAnsi="ＭＳ ゴシック" w:eastAsia="ＭＳ ゴシック"/>
                <w:color w:val="auto"/>
              </w:rPr>
            </w:pPr>
            <w:r>
              <w:rPr>
                <w:rFonts w:hint="eastAsia" w:ascii="ＭＳ ゴシック" w:hAnsi="ＭＳ ゴシック" w:eastAsia="ＭＳ ゴシック"/>
                <w:color w:val="auto"/>
              </w:rPr>
              <w:t>令和８年１月中旬頃まで</w:t>
            </w:r>
          </w:p>
          <w:p>
            <w:pPr>
              <w:pStyle w:val="0"/>
              <w:spacing w:line="20" w:lineRule="atLeast"/>
              <w:jc w:val="center"/>
              <w:rPr>
                <w:rFonts w:hint="eastAsia" w:ascii="ＭＳ ゴシック" w:hAnsi="ＭＳ ゴシック" w:eastAsia="ＭＳ ゴシック"/>
                <w:color w:val="auto"/>
              </w:rPr>
            </w:pPr>
            <w:r>
              <w:rPr>
                <w:rFonts w:hint="eastAsia" w:ascii="ＭＳ ゴシック" w:hAnsi="ＭＳ ゴシック" w:eastAsia="ＭＳ ゴシック"/>
                <w:color w:val="auto"/>
              </w:rPr>
              <w:t>↓</w:t>
            </w:r>
          </w:p>
          <w:p>
            <w:pPr>
              <w:pStyle w:val="0"/>
              <w:spacing w:line="20" w:lineRule="atLeast"/>
              <w:ind w:left="0" w:leftChars="0" w:firstLine="105" w:firstLineChars="50"/>
              <w:rPr>
                <w:rFonts w:hint="eastAsia" w:ascii="ＭＳ ゴシック" w:hAnsi="ＭＳ ゴシック" w:eastAsia="ＭＳ ゴシック"/>
                <w:color w:val="auto"/>
              </w:rPr>
            </w:pPr>
            <w:r>
              <w:rPr>
                <w:rFonts w:hint="eastAsia" w:ascii="ＭＳ ゴシック" w:hAnsi="ＭＳ ゴシック" w:eastAsia="ＭＳ ゴシック"/>
                <w:color w:val="auto"/>
              </w:rPr>
              <w:t>令和８年度から</w:t>
            </w:r>
          </w:p>
          <w:p>
            <w:pPr>
              <w:pStyle w:val="0"/>
              <w:spacing w:line="20" w:lineRule="atLeast"/>
              <w:jc w:val="center"/>
              <w:rPr>
                <w:rFonts w:hint="eastAsia" w:ascii="ＭＳ ゴシック" w:hAnsi="ＭＳ ゴシック" w:eastAsia="ＭＳ ゴシック"/>
                <w:color w:val="auto"/>
              </w:rPr>
            </w:pPr>
            <w:r>
              <w:rPr>
                <w:rFonts w:hint="eastAsia" w:ascii="ＭＳ ゴシック" w:hAnsi="ＭＳ ゴシック" w:eastAsia="ＭＳ ゴシック"/>
                <w:color w:val="auto"/>
              </w:rPr>
              <w:t>↓</w:t>
            </w:r>
          </w:p>
        </w:tc>
        <w:tc>
          <w:tcPr>
            <w:tcW w:w="5783"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0" w:lineRule="atLeast"/>
              <w:rPr>
                <w:rFonts w:hint="eastAsia" w:ascii="ＭＳ ゴシック" w:hAnsi="ＭＳ ゴシック" w:eastAsia="ＭＳ ゴシック"/>
                <w:color w:val="auto"/>
              </w:rPr>
            </w:pPr>
            <w:r>
              <w:rPr>
                <w:rFonts w:hint="eastAsia" w:ascii="ＭＳ ゴシック" w:hAnsi="ＭＳ ゴシック" w:eastAsia="ＭＳ ゴシック"/>
                <w:color w:val="auto"/>
              </w:rPr>
              <w:t>応募受付開始</w:t>
            </w:r>
          </w:p>
          <w:p>
            <w:pPr>
              <w:pStyle w:val="0"/>
              <w:spacing w:line="20" w:lineRule="atLeast"/>
              <w:rPr>
                <w:rFonts w:hint="eastAsia" w:ascii="ＭＳ ゴシック" w:hAnsi="ＭＳ ゴシック" w:eastAsia="ＭＳ ゴシック"/>
                <w:color w:val="auto"/>
              </w:rPr>
            </w:pPr>
            <w:r>
              <w:rPr>
                <w:rFonts w:hint="eastAsia" w:ascii="ＭＳ ゴシック" w:hAnsi="ＭＳ ゴシック" w:eastAsia="ＭＳ ゴシック"/>
                <w:color w:val="auto"/>
              </w:rPr>
              <w:t>質問受付開始</w:t>
            </w:r>
          </w:p>
          <w:p>
            <w:pPr>
              <w:pStyle w:val="0"/>
              <w:spacing w:line="20" w:lineRule="atLeast"/>
              <w:rPr>
                <w:rFonts w:hint="eastAsia" w:ascii="ＭＳ ゴシック" w:hAnsi="ＭＳ ゴシック" w:eastAsia="ＭＳ ゴシック"/>
                <w:color w:val="auto"/>
              </w:rPr>
            </w:pPr>
            <w:r>
              <w:rPr>
                <w:rFonts w:hint="eastAsia" w:ascii="ＭＳ ゴシック" w:hAnsi="ＭＳ ゴシック" w:eastAsia="ＭＳ ゴシック"/>
                <w:color w:val="auto"/>
              </w:rPr>
              <w:t>【質問受付期間】令和７年１１月１４日（金）まで</w:t>
            </w:r>
          </w:p>
          <w:p>
            <w:pPr>
              <w:pStyle w:val="0"/>
              <w:spacing w:line="20" w:lineRule="atLeast"/>
              <w:rPr>
                <w:rFonts w:hint="eastAsia" w:ascii="ＭＳ ゴシック" w:hAnsi="ＭＳ ゴシック" w:eastAsia="ＭＳ ゴシック"/>
                <w:color w:val="auto"/>
              </w:rPr>
            </w:pPr>
            <w:r>
              <w:rPr>
                <w:rFonts w:hint="eastAsia" w:ascii="ＭＳ ゴシック" w:hAnsi="ＭＳ ゴシック" w:eastAsia="ＭＳ ゴシック"/>
                <w:color w:val="auto"/>
              </w:rPr>
              <w:t>応募受付終了　書類審査</w:t>
            </w:r>
          </w:p>
          <w:p>
            <w:pPr>
              <w:pStyle w:val="0"/>
              <w:spacing w:line="20" w:lineRule="atLeast"/>
              <w:rPr>
                <w:rFonts w:hint="eastAsia" w:ascii="ＭＳ ゴシック" w:hAnsi="ＭＳ ゴシック" w:eastAsia="ＭＳ ゴシック"/>
                <w:color w:val="auto"/>
              </w:rPr>
            </w:pPr>
          </w:p>
          <w:p>
            <w:pPr>
              <w:pStyle w:val="0"/>
              <w:spacing w:line="20" w:lineRule="atLeast"/>
              <w:rPr>
                <w:rFonts w:hint="eastAsia" w:ascii="ＭＳ ゴシック" w:hAnsi="ＭＳ ゴシック" w:eastAsia="ＭＳ ゴシック"/>
                <w:color w:val="auto"/>
              </w:rPr>
            </w:pPr>
            <w:r>
              <w:rPr>
                <w:rFonts w:hint="eastAsia" w:ascii="ＭＳ ゴシック" w:hAnsi="ＭＳ ゴシック" w:eastAsia="ＭＳ ゴシック"/>
                <w:color w:val="auto"/>
              </w:rPr>
              <w:t>廿日市市保健福祉審議会高齢福祉専門部会開催</w:t>
            </w:r>
          </w:p>
          <w:p>
            <w:pPr>
              <w:pStyle w:val="0"/>
              <w:spacing w:line="20" w:lineRule="atLeast"/>
              <w:rPr>
                <w:rFonts w:hint="eastAsia" w:ascii="ＭＳ ゴシック" w:hAnsi="ＭＳ ゴシック" w:eastAsia="ＭＳ ゴシック"/>
                <w:color w:val="auto"/>
              </w:rPr>
            </w:pPr>
            <w:r>
              <w:rPr>
                <w:rFonts w:hint="eastAsia" w:ascii="ＭＳ ゴシック" w:hAnsi="ＭＳ ゴシック" w:eastAsia="ＭＳ ゴシック"/>
                <w:color w:val="auto"/>
              </w:rPr>
              <w:t>（事業者によるプレゼンテーションの実施）</w:t>
            </w:r>
          </w:p>
          <w:p>
            <w:pPr>
              <w:pStyle w:val="0"/>
              <w:spacing w:line="20" w:lineRule="atLeast"/>
              <w:rPr>
                <w:rFonts w:hint="eastAsia" w:ascii="ＭＳ ゴシック" w:hAnsi="ＭＳ ゴシック" w:eastAsia="ＭＳ ゴシック"/>
                <w:color w:val="auto"/>
              </w:rPr>
            </w:pPr>
          </w:p>
          <w:p>
            <w:pPr>
              <w:pStyle w:val="0"/>
              <w:spacing w:line="20" w:lineRule="atLeast"/>
              <w:rPr>
                <w:rFonts w:hint="eastAsia" w:ascii="ＭＳ ゴシック" w:hAnsi="ＭＳ ゴシック" w:eastAsia="ＭＳ ゴシック"/>
                <w:color w:val="auto"/>
              </w:rPr>
            </w:pPr>
            <w:r>
              <w:rPr>
                <w:rFonts w:hint="eastAsia" w:ascii="ＭＳ ゴシック" w:hAnsi="ＭＳ ゴシック" w:eastAsia="ＭＳ ゴシック"/>
                <w:color w:val="auto"/>
              </w:rPr>
              <w:t>書類審査結果通知（事業者へ個別通知）</w:t>
            </w:r>
          </w:p>
          <w:p>
            <w:pPr>
              <w:pStyle w:val="0"/>
              <w:spacing w:line="20" w:lineRule="atLeast"/>
              <w:rPr>
                <w:rFonts w:hint="eastAsia" w:ascii="ＭＳ ゴシック" w:hAnsi="ＭＳ ゴシック" w:eastAsia="ＭＳ ゴシック"/>
                <w:color w:val="auto"/>
              </w:rPr>
            </w:pPr>
            <w:r>
              <w:rPr>
                <w:rFonts w:hint="eastAsia" w:ascii="ＭＳ ゴシック" w:hAnsi="ＭＳ ゴシック" w:eastAsia="ＭＳ ゴシック"/>
                <w:color w:val="auto"/>
              </w:rPr>
              <w:t>整備運営事業予定者発表（市ホームページに掲載）</w:t>
            </w:r>
          </w:p>
          <w:p>
            <w:pPr>
              <w:pStyle w:val="0"/>
              <w:spacing w:line="20" w:lineRule="atLeast"/>
              <w:rPr>
                <w:rFonts w:hint="eastAsia" w:ascii="ＭＳ ゴシック" w:hAnsi="ＭＳ ゴシック" w:eastAsia="ＭＳ ゴシック"/>
                <w:color w:val="auto"/>
              </w:rPr>
            </w:pPr>
            <w:r>
              <w:rPr>
                <w:rFonts w:hint="eastAsia" w:ascii="ＭＳ ゴシック" w:hAnsi="ＭＳ ゴシック" w:eastAsia="ＭＳ ゴシック"/>
                <w:color w:val="auto"/>
              </w:rPr>
              <w:t>整備運営事業予定者による開設準備期間（指定申請手続きを含む）</w:t>
            </w:r>
          </w:p>
          <w:p>
            <w:pPr>
              <w:pStyle w:val="0"/>
              <w:spacing w:line="20" w:lineRule="atLeast"/>
              <w:rPr>
                <w:rFonts w:hint="eastAsia" w:ascii="ＭＳ ゴシック" w:hAnsi="ＭＳ ゴシック" w:eastAsia="ＭＳ ゴシック"/>
                <w:color w:val="auto"/>
              </w:rPr>
            </w:pPr>
            <w:r>
              <w:rPr>
                <w:rFonts w:hint="eastAsia" w:ascii="ＭＳ ゴシック" w:hAnsi="ＭＳ ゴシック" w:eastAsia="ＭＳ ゴシック"/>
                <w:color w:val="auto"/>
              </w:rPr>
              <w:t>事業者指定後サービス提供開始</w:t>
            </w:r>
          </w:p>
          <w:p>
            <w:pPr>
              <w:pStyle w:val="0"/>
              <w:spacing w:line="20" w:lineRule="atLeast"/>
              <w:rPr>
                <w:rFonts w:hint="eastAsia" w:ascii="ＭＳ ゴシック" w:hAnsi="ＭＳ ゴシック" w:eastAsia="ＭＳ ゴシック"/>
                <w:color w:val="auto"/>
              </w:rPr>
            </w:pPr>
            <w:r>
              <w:rPr>
                <w:rFonts w:hint="eastAsia" w:ascii="ＭＳ ゴシック" w:hAnsi="ＭＳ ゴシック" w:eastAsia="ＭＳ ゴシック"/>
                <w:color w:val="auto"/>
              </w:rPr>
              <w:t>（令和９年４月１日指定含む）</w:t>
            </w:r>
          </w:p>
        </w:tc>
      </w:tr>
    </w:tbl>
    <w:p>
      <w:pPr>
        <w:pStyle w:val="0"/>
        <w:jc w:val="left"/>
        <w:rPr>
          <w:rFonts w:hint="eastAsia" w:ascii="ＭＳ ゴシック" w:hAnsi="ＭＳ ゴシック" w:eastAsia="ＭＳ ゴシック"/>
          <w:b w:val="1"/>
          <w:color w:val="auto"/>
        </w:rPr>
      </w:pPr>
    </w:p>
    <w:p>
      <w:pPr>
        <w:pStyle w:val="0"/>
        <w:ind w:leftChars="0" w:firstLine="0" w:firstLineChars="0"/>
        <w:jc w:val="left"/>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1"/>
        </w:rPr>
        <w:t>11</w:t>
      </w:r>
      <w:r>
        <w:rPr>
          <w:rFonts w:hint="eastAsia" w:ascii="ＭＳ ゴシック" w:hAnsi="ＭＳ ゴシック" w:eastAsia="ＭＳ ゴシック"/>
          <w:b w:val="1"/>
        </w:rPr>
        <w:t>　お問合せ先</w:t>
      </w:r>
      <w:r>
        <w:rPr>
          <w:rFonts w:hint="eastAsia" w:ascii="ＭＳ ゴシック" w:hAnsi="ＭＳ ゴシック" w:eastAsia="ＭＳ ゴシック"/>
          <w:b w:val="1"/>
          <w:color w:val="000000" w:themeColor="text1"/>
        </w:rPr>
        <w:t xml:space="preserve">  </w:t>
      </w:r>
    </w:p>
    <w:p>
      <w:pPr>
        <w:pStyle w:val="0"/>
        <w:ind w:firstLine="420" w:firstLineChars="200"/>
        <w:jc w:val="left"/>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廿日市市健康福祉部高齢介護課</w:t>
      </w:r>
      <w:r>
        <w:rPr>
          <w:rFonts w:hint="eastAsia" w:ascii="ＭＳ ゴシック" w:hAnsi="ＭＳ ゴシック" w:eastAsia="ＭＳ ゴシック"/>
          <w:b w:val="0"/>
          <w:color w:val="000000" w:themeColor="text1"/>
        </w:rPr>
        <w:t xml:space="preserve"> </w:t>
      </w:r>
      <w:r>
        <w:rPr>
          <w:rFonts w:hint="eastAsia" w:ascii="ＭＳ ゴシック" w:hAnsi="ＭＳ ゴシック" w:eastAsia="ＭＳ ゴシック"/>
          <w:b w:val="0"/>
          <w:color w:val="000000" w:themeColor="text1"/>
        </w:rPr>
        <w:t>介護保険係</w:t>
      </w:r>
    </w:p>
    <w:p>
      <w:pPr>
        <w:pStyle w:val="0"/>
        <w:ind w:firstLine="420" w:firstLineChars="2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〒７３８－８５１２　廿日市市新宮一丁目１３番１号（山崎本社みんなのあいプラザ３階）</w:t>
      </w:r>
    </w:p>
    <w:p>
      <w:pPr>
        <w:pStyle w:val="0"/>
        <w:ind w:left="0" w:leftChars="0" w:firstLine="630" w:firstLineChars="300"/>
        <w:jc w:val="left"/>
        <w:rPr>
          <w:rFonts w:hint="default"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ＴＥＬ：０８２９－３０－９１５５</w:t>
      </w:r>
    </w:p>
    <w:p>
      <w:pPr>
        <w:pStyle w:val="0"/>
        <w:ind w:left="0" w:leftChars="0" w:firstLine="630" w:firstLineChars="300"/>
        <w:jc w:val="left"/>
        <w:rPr>
          <w:rFonts w:hint="default"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ＦＡＸ：０８２９－２０－１６１１</w:t>
      </w:r>
    </w:p>
    <w:p>
      <w:pPr>
        <w:pStyle w:val="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　　　電子メール：</w:t>
      </w:r>
      <w:r>
        <w:rPr>
          <w:rFonts w:hint="eastAsia" w:ascii="ＭＳ ゴシック" w:hAnsi="ＭＳ ゴシック" w:eastAsia="ＭＳ ゴシック"/>
          <w:b w:val="0"/>
          <w:color w:val="000000" w:themeColor="text1"/>
        </w:rPr>
        <w:t>koreikaigo@city.hatsukaichi.lg.jp</w:t>
      </w:r>
    </w:p>
    <w:p>
      <w:pPr>
        <w:pStyle w:val="0"/>
        <w:jc w:val="left"/>
        <w:rPr>
          <w:rFonts w:hint="eastAsia" w:ascii="ＭＳ ゴシック" w:hAnsi="ＭＳ ゴシック" w:eastAsia="ＭＳ ゴシック"/>
          <w:b w:val="1"/>
        </w:rPr>
      </w:pPr>
    </w:p>
    <w:p>
      <w:pPr>
        <w:pStyle w:val="0"/>
        <w:jc w:val="left"/>
        <w:rPr>
          <w:rFonts w:hint="eastAsia" w:ascii="ＭＳ ゴシック" w:hAnsi="ＭＳ ゴシック" w:eastAsia="ＭＳ ゴシック"/>
          <w:b w:val="1"/>
          <w:color w:val="auto"/>
        </w:rPr>
      </w:pPr>
      <w:r>
        <w:rPr>
          <w:rFonts w:hint="default" w:ascii="ＭＳ ゴシック" w:hAnsi="ＭＳ ゴシック" w:eastAsia="ＭＳ ゴシック"/>
          <w:b w:val="1"/>
          <w:color w:val="auto"/>
        </w:rPr>
        <w:br w:type="page"/>
      </w:r>
      <w:r>
        <w:rPr>
          <w:rFonts w:hint="eastAsia" w:ascii="ＭＳ ゴシック" w:hAnsi="ＭＳ ゴシック" w:eastAsia="ＭＳ ゴシック"/>
          <w:b w:val="1"/>
          <w:color w:val="auto"/>
        </w:rPr>
        <w:t>11</w:t>
      </w:r>
      <w:r>
        <w:rPr>
          <w:rFonts w:hint="eastAsia" w:ascii="ＭＳ ゴシック" w:hAnsi="ＭＳ ゴシック" w:eastAsia="ＭＳ ゴシック"/>
          <w:b w:val="1"/>
          <w:color w:val="auto"/>
        </w:rPr>
        <w:t>　その他参考情報</w:t>
      </w:r>
      <w:r>
        <w:rPr>
          <w:rFonts w:hint="eastAsia" w:ascii="ＭＳ ゴシック" w:hAnsi="ＭＳ ゴシック" w:eastAsia="ＭＳ ゴシック"/>
          <w:b w:val="1"/>
        </w:rPr>
        <w:t>（第</w:t>
      </w:r>
      <w:r>
        <w:rPr>
          <w:rFonts w:hint="eastAsia" w:ascii="ＭＳ ゴシック" w:hAnsi="ＭＳ ゴシック" w:eastAsia="ＭＳ ゴシック"/>
          <w:b w:val="1"/>
        </w:rPr>
        <w:t>9</w:t>
      </w:r>
      <w:r>
        <w:rPr>
          <w:rFonts w:hint="eastAsia" w:ascii="ＭＳ ゴシック" w:hAnsi="ＭＳ ゴシック" w:eastAsia="ＭＳ ゴシック"/>
          <w:b w:val="1"/>
        </w:rPr>
        <w:t>期廿日市市介護保険事業計画から引用）</w:t>
      </w:r>
    </w:p>
    <w:p>
      <w:pPr>
        <w:pStyle w:val="0"/>
        <w:jc w:val="left"/>
        <w:rPr>
          <w:rFonts w:hint="eastAsia" w:ascii="ＭＳ ゴシック" w:hAnsi="ＭＳ ゴシック" w:eastAsia="ＭＳ ゴシック"/>
          <w:b w:val="1"/>
          <w:color w:val="auto"/>
        </w:rPr>
      </w:pPr>
      <w:r>
        <w:rPr>
          <w:rFonts w:hint="eastAsia" w:ascii="ＭＳ ゴシック" w:hAnsi="ＭＳ ゴシック" w:eastAsia="ＭＳ ゴシック"/>
          <w:b w:val="1"/>
          <w:color w:val="auto"/>
        </w:rPr>
        <w:t>（１）日常生活圏域の概要</w:t>
      </w:r>
    </w:p>
    <w:p>
      <w:pPr>
        <w:pStyle w:val="0"/>
        <w:autoSpaceDE w:val="0"/>
        <w:autoSpaceDN w:val="0"/>
        <w:spacing w:before="165" w:beforeLines="50" w:beforeAutospacing="0" w:line="380" w:lineRule="exact"/>
        <w:ind w:left="425" w:leftChars="193"/>
        <w:jc w:val="center"/>
        <w:rPr>
          <w:rFonts w:hint="default" w:ascii="BIZ UDPゴシック" w:hAnsi="BIZ UDPゴシック" w:eastAsia="BIZ UDPゴシック"/>
          <w:color w:val="000000" w:themeColor="text1"/>
          <w:sz w:val="21"/>
        </w:rPr>
      </w:pPr>
      <w:bookmarkStart w:id="1" w:name="_Toc150813508"/>
      <w:bookmarkEnd w:id="1"/>
      <w:bookmarkStart w:id="2" w:name="_Toc155873037"/>
      <w:bookmarkEnd w:id="2"/>
      <w:bookmarkStart w:id="3" w:name="_Toc159757637"/>
      <w:bookmarkEnd w:id="3"/>
      <w:r>
        <w:rPr>
          <w:rFonts w:hint="eastAsia" w:ascii="BIZ UDPゴシック" w:hAnsi="BIZ UDPゴシック" w:eastAsia="BIZ UDPゴシック"/>
          <w:color w:val="000000" w:themeColor="text1"/>
          <w:sz w:val="21"/>
        </w:rPr>
        <w:t>図表　日常生活圏域の状況（令和５（</w:t>
      </w:r>
      <w:r>
        <w:rPr>
          <w:rFonts w:hint="eastAsia" w:ascii="BIZ UDPゴシック" w:hAnsi="BIZ UDPゴシック" w:eastAsia="BIZ UDPゴシック"/>
          <w:color w:val="000000" w:themeColor="text1"/>
          <w:sz w:val="21"/>
        </w:rPr>
        <w:t>2023</w:t>
      </w:r>
      <w:r>
        <w:rPr>
          <w:rFonts w:hint="eastAsia" w:ascii="BIZ UDPゴシック" w:hAnsi="BIZ UDPゴシック" w:eastAsia="BIZ UDPゴシック"/>
          <w:color w:val="000000" w:themeColor="text1"/>
          <w:sz w:val="21"/>
        </w:rPr>
        <w:t>）年</w:t>
      </w:r>
      <w:r>
        <w:rPr>
          <w:rFonts w:hint="eastAsia" w:ascii="BIZ UDPゴシック" w:hAnsi="BIZ UDPゴシック" w:eastAsia="BIZ UDPゴシック"/>
          <w:color w:val="000000" w:themeColor="text1"/>
          <w:sz w:val="21"/>
        </w:rPr>
        <w:t>10</w:t>
      </w:r>
      <w:r>
        <w:rPr>
          <w:rFonts w:hint="eastAsia" w:ascii="BIZ UDPゴシック" w:hAnsi="BIZ UDPゴシック" w:eastAsia="BIZ UDPゴシック"/>
          <w:color w:val="000000" w:themeColor="text1"/>
          <w:sz w:val="21"/>
        </w:rPr>
        <w:t>月１日現在）</w:t>
      </w:r>
    </w:p>
    <w:p>
      <w:pPr>
        <w:pStyle w:val="0"/>
        <w:autoSpaceDE w:val="0"/>
        <w:autoSpaceDN w:val="0"/>
        <w:spacing w:line="240" w:lineRule="exact"/>
        <w:ind w:left="425" w:leftChars="193"/>
        <w:jc w:val="right"/>
        <w:rPr>
          <w:rFonts w:hint="default" w:ascii="ＭＳ Ｐゴシック" w:hAnsi="ＭＳ Ｐゴシック" w:eastAsia="ＭＳ Ｐゴシック"/>
          <w:color w:val="000000" w:themeColor="text1"/>
          <w:sz w:val="18"/>
        </w:rPr>
      </w:pPr>
      <w:r>
        <w:rPr>
          <w:rFonts w:hint="eastAsia" w:ascii="ＭＳ Ｐゴシック" w:hAnsi="ＭＳ Ｐゴシック" w:eastAsia="ＭＳ Ｐゴシック"/>
          <w:color w:val="000000" w:themeColor="text1"/>
          <w:sz w:val="18"/>
        </w:rPr>
        <w:t>（単位：人）</w:t>
      </w:r>
    </w:p>
    <w:tbl>
      <w:tblPr>
        <w:tblStyle w:val="42"/>
        <w:tblW w:w="8704" w:type="dxa"/>
        <w:tblInd w:w="421" w:type="dxa"/>
        <w:tblLayout w:type="fixed"/>
        <w:tblLook w:firstRow="1" w:lastRow="0" w:firstColumn="1" w:lastColumn="0" w:noHBand="0" w:noVBand="1" w:val="04A0"/>
      </w:tblPr>
      <w:tblGrid>
        <w:gridCol w:w="1275"/>
        <w:gridCol w:w="2699"/>
        <w:gridCol w:w="990"/>
        <w:gridCol w:w="1210"/>
        <w:gridCol w:w="1191"/>
        <w:gridCol w:w="1339"/>
      </w:tblGrid>
      <w:tr>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CCECFF"/>
            <w:vAlign w:val="center"/>
          </w:tcPr>
          <w:p>
            <w:pPr>
              <w:pStyle w:val="28"/>
              <w:tabs>
                <w:tab w:val="left" w:leader="none" w:pos="1100"/>
              </w:tabs>
              <w:autoSpaceDE w:val="0"/>
              <w:autoSpaceDN w:val="0"/>
              <w:spacing w:line="26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圏域</w:t>
            </w:r>
          </w:p>
        </w:tc>
        <w:tc>
          <w:tcPr>
            <w:tcW w:w="269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CCECFF"/>
            <w:vAlign w:val="center"/>
          </w:tcPr>
          <w:p>
            <w:pPr>
              <w:pStyle w:val="28"/>
              <w:autoSpaceDE w:val="0"/>
              <w:autoSpaceDN w:val="0"/>
              <w:spacing w:line="26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構成される小学校区等</w:t>
            </w:r>
          </w:p>
        </w:tc>
        <w:tc>
          <w:tcPr>
            <w:tcW w:w="990"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shd w:val="clear" w:color="auto" w:fill="CCECFF"/>
            <w:vAlign w:val="center"/>
          </w:tcPr>
          <w:p>
            <w:pPr>
              <w:pStyle w:val="28"/>
              <w:autoSpaceDE w:val="0"/>
              <w:autoSpaceDN w:val="0"/>
              <w:spacing w:line="26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人口</w:t>
            </w:r>
          </w:p>
        </w:tc>
        <w:tc>
          <w:tcPr>
            <w:tcW w:w="1210"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shd w:val="clear" w:color="auto" w:fill="CCECFF"/>
            <w:vAlign w:val="center"/>
          </w:tcPr>
          <w:p>
            <w:pPr>
              <w:pStyle w:val="28"/>
              <w:autoSpaceDE w:val="0"/>
              <w:autoSpaceDN w:val="0"/>
              <w:spacing w:line="26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高齢者数</w:t>
            </w:r>
          </w:p>
        </w:tc>
        <w:tc>
          <w:tcPr>
            <w:tcW w:w="1191"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shd w:val="clear" w:color="auto" w:fill="CCECFF"/>
            <w:vAlign w:val="center"/>
          </w:tcPr>
          <w:p>
            <w:pPr>
              <w:pStyle w:val="28"/>
              <w:autoSpaceDE w:val="0"/>
              <w:autoSpaceDN w:val="0"/>
              <w:spacing w:line="26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高齢化率</w:t>
            </w:r>
          </w:p>
        </w:tc>
        <w:tc>
          <w:tcPr>
            <w:tcW w:w="133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CCECFF"/>
            <w:vAlign w:val="center"/>
          </w:tcPr>
          <w:p>
            <w:pPr>
              <w:pStyle w:val="28"/>
              <w:autoSpaceDE w:val="0"/>
              <w:autoSpaceDN w:val="0"/>
              <w:spacing w:line="260" w:lineRule="exact"/>
              <w:ind w:left="-110" w:leftChars="-50" w:right="-110" w:rightChars="-50"/>
              <w:jc w:val="center"/>
              <w:rPr>
                <w:rFonts w:hint="default" w:ascii="ＭＳ Ｐゴシック" w:hAnsi="ＭＳ Ｐゴシック" w:eastAsia="ＭＳ Ｐゴシック"/>
                <w:color w:val="000000" w:themeColor="text1"/>
                <w:kern w:val="24"/>
                <w:sz w:val="18"/>
              </w:rPr>
            </w:pPr>
            <w:r>
              <w:rPr>
                <w:rFonts w:hint="eastAsia" w:ascii="ＭＳ Ｐゴシック" w:hAnsi="ＭＳ Ｐゴシック" w:eastAsia="ＭＳ Ｐゴシック"/>
                <w:color w:val="000000" w:themeColor="text1"/>
                <w:kern w:val="24"/>
                <w:sz w:val="18"/>
              </w:rPr>
              <w:t>第１号被保険者</w:t>
            </w:r>
          </w:p>
          <w:p>
            <w:pPr>
              <w:pStyle w:val="28"/>
              <w:autoSpaceDE w:val="0"/>
              <w:autoSpaceDN w:val="0"/>
              <w:spacing w:line="26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認定者数</w:t>
            </w:r>
          </w:p>
        </w:tc>
      </w:tr>
      <w:tr>
        <w:trPr>
          <w:trHeight w:val="567" w:hRule="atLeast"/>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center"/>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廿日市東部</w:t>
            </w:r>
          </w:p>
        </w:tc>
        <w:tc>
          <w:tcPr>
            <w:tcW w:w="2699"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佐方・廿日市・平良・原</w:t>
            </w:r>
          </w:p>
        </w:tc>
        <w:tc>
          <w:tcPr>
            <w:tcW w:w="9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31,554</w:t>
            </w:r>
          </w:p>
        </w:tc>
        <w:tc>
          <w:tcPr>
            <w:tcW w:w="12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7,719</w:t>
            </w:r>
          </w:p>
        </w:tc>
        <w:tc>
          <w:tcPr>
            <w:tcW w:w="11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24.5%</w:t>
            </w:r>
          </w:p>
        </w:tc>
        <w:tc>
          <w:tcPr>
            <w:tcW w:w="1339"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1,425</w:t>
            </w:r>
          </w:p>
        </w:tc>
      </w:tr>
      <w:tr>
        <w:trPr>
          <w:trHeight w:val="567" w:hRule="atLeast"/>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center"/>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廿日市中部</w:t>
            </w:r>
          </w:p>
        </w:tc>
        <w:tc>
          <w:tcPr>
            <w:tcW w:w="2699"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26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宮内・金剛寺・宮園</w:t>
            </w:r>
          </w:p>
          <w:p>
            <w:pPr>
              <w:pStyle w:val="28"/>
              <w:autoSpaceDE w:val="0"/>
              <w:autoSpaceDN w:val="0"/>
              <w:spacing w:line="26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・四季が丘</w:t>
            </w:r>
          </w:p>
        </w:tc>
        <w:tc>
          <w:tcPr>
            <w:tcW w:w="9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24,035</w:t>
            </w:r>
          </w:p>
        </w:tc>
        <w:tc>
          <w:tcPr>
            <w:tcW w:w="12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7,717</w:t>
            </w:r>
          </w:p>
        </w:tc>
        <w:tc>
          <w:tcPr>
            <w:tcW w:w="11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32.1%</w:t>
            </w:r>
          </w:p>
        </w:tc>
        <w:tc>
          <w:tcPr>
            <w:tcW w:w="1339"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1,143</w:t>
            </w:r>
          </w:p>
        </w:tc>
      </w:tr>
      <w:tr>
        <w:trPr>
          <w:trHeight w:val="567" w:hRule="atLeast"/>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center"/>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廿日市西部</w:t>
            </w:r>
          </w:p>
        </w:tc>
        <w:tc>
          <w:tcPr>
            <w:tcW w:w="2699"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26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地御前・阿品台東・阿品台西</w:t>
            </w:r>
          </w:p>
        </w:tc>
        <w:tc>
          <w:tcPr>
            <w:tcW w:w="9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20,180</w:t>
            </w:r>
          </w:p>
        </w:tc>
        <w:tc>
          <w:tcPr>
            <w:tcW w:w="12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7,126</w:t>
            </w:r>
          </w:p>
        </w:tc>
        <w:tc>
          <w:tcPr>
            <w:tcW w:w="11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35.3%</w:t>
            </w:r>
          </w:p>
        </w:tc>
        <w:tc>
          <w:tcPr>
            <w:tcW w:w="1339"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1,290</w:t>
            </w:r>
          </w:p>
        </w:tc>
      </w:tr>
      <w:tr>
        <w:trPr>
          <w:trHeight w:val="567" w:hRule="atLeast"/>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center"/>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佐伯</w:t>
            </w:r>
          </w:p>
        </w:tc>
        <w:tc>
          <w:tcPr>
            <w:tcW w:w="2699"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旧佐伯町</w:t>
            </w:r>
          </w:p>
        </w:tc>
        <w:tc>
          <w:tcPr>
            <w:tcW w:w="9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8,890</w:t>
            </w:r>
          </w:p>
        </w:tc>
        <w:tc>
          <w:tcPr>
            <w:tcW w:w="12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3,933</w:t>
            </w:r>
          </w:p>
        </w:tc>
        <w:tc>
          <w:tcPr>
            <w:tcW w:w="11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44.2%</w:t>
            </w:r>
          </w:p>
        </w:tc>
        <w:tc>
          <w:tcPr>
            <w:tcW w:w="1339"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705</w:t>
            </w:r>
          </w:p>
        </w:tc>
      </w:tr>
      <w:tr>
        <w:trPr>
          <w:trHeight w:val="567" w:hRule="atLeast"/>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center"/>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吉和</w:t>
            </w:r>
          </w:p>
        </w:tc>
        <w:tc>
          <w:tcPr>
            <w:tcW w:w="2699"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旧吉和村</w:t>
            </w:r>
          </w:p>
        </w:tc>
        <w:tc>
          <w:tcPr>
            <w:tcW w:w="9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573</w:t>
            </w:r>
          </w:p>
        </w:tc>
        <w:tc>
          <w:tcPr>
            <w:tcW w:w="12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299</w:t>
            </w:r>
          </w:p>
        </w:tc>
        <w:tc>
          <w:tcPr>
            <w:tcW w:w="11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52.2%</w:t>
            </w:r>
          </w:p>
        </w:tc>
        <w:tc>
          <w:tcPr>
            <w:tcW w:w="1339"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77</w:t>
            </w:r>
          </w:p>
        </w:tc>
      </w:tr>
      <w:tr>
        <w:trPr>
          <w:trHeight w:val="567" w:hRule="atLeast"/>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center"/>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大野</w:t>
            </w:r>
          </w:p>
        </w:tc>
        <w:tc>
          <w:tcPr>
            <w:tcW w:w="2699"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旧大野町</w:t>
            </w:r>
          </w:p>
        </w:tc>
        <w:tc>
          <w:tcPr>
            <w:tcW w:w="9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29,421</w:t>
            </w:r>
          </w:p>
        </w:tc>
        <w:tc>
          <w:tcPr>
            <w:tcW w:w="12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8,990</w:t>
            </w:r>
          </w:p>
        </w:tc>
        <w:tc>
          <w:tcPr>
            <w:tcW w:w="11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30.6%</w:t>
            </w:r>
          </w:p>
        </w:tc>
        <w:tc>
          <w:tcPr>
            <w:tcW w:w="1339"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1,655</w:t>
            </w:r>
          </w:p>
        </w:tc>
      </w:tr>
      <w:tr>
        <w:trPr>
          <w:trHeight w:val="567" w:hRule="atLeast"/>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center"/>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宮島</w:t>
            </w:r>
          </w:p>
        </w:tc>
        <w:tc>
          <w:tcPr>
            <w:tcW w:w="2699"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旧宮島町</w:t>
            </w:r>
          </w:p>
        </w:tc>
        <w:tc>
          <w:tcPr>
            <w:tcW w:w="9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1,415</w:t>
            </w:r>
          </w:p>
        </w:tc>
        <w:tc>
          <w:tcPr>
            <w:tcW w:w="12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676</w:t>
            </w:r>
          </w:p>
        </w:tc>
        <w:tc>
          <w:tcPr>
            <w:tcW w:w="11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47.8%</w:t>
            </w:r>
          </w:p>
        </w:tc>
        <w:tc>
          <w:tcPr>
            <w:tcW w:w="1339"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153</w:t>
            </w:r>
          </w:p>
        </w:tc>
      </w:tr>
    </w:tbl>
    <w:p>
      <w:pPr>
        <w:pStyle w:val="0"/>
        <w:autoSpaceDE w:val="0"/>
        <w:autoSpaceDN w:val="0"/>
        <w:spacing w:before="165" w:beforeLines="50" w:beforeAutospacing="0" w:line="380" w:lineRule="exact"/>
        <w:rPr>
          <w:rFonts w:hint="default"/>
        </w:rPr>
      </w:pPr>
      <w:r>
        <w:rPr>
          <w:rFonts w:hint="eastAsia"/>
        </w:rPr>
        <w:drawing>
          <wp:anchor distT="0" distB="0" distL="203200" distR="203200" simplePos="0" relativeHeight="3" behindDoc="0" locked="0" layoutInCell="1" hidden="0" allowOverlap="1">
            <wp:simplePos x="0" y="0"/>
            <wp:positionH relativeFrom="column">
              <wp:posOffset>727710</wp:posOffset>
            </wp:positionH>
            <wp:positionV relativeFrom="paragraph">
              <wp:posOffset>205740</wp:posOffset>
            </wp:positionV>
            <wp:extent cx="5020310" cy="3876675"/>
            <wp:effectExtent l="0" t="0" r="0" b="0"/>
            <wp:wrapNone/>
            <wp:docPr id="1027" name="オブジェクト 0"/>
            <a:graphic xmlns:a="http://schemas.openxmlformats.org/drawingml/2006/main">
              <a:graphicData uri="http://schemas.openxmlformats.org/drawingml/2006/picture">
                <pic:pic xmlns:pic="http://schemas.openxmlformats.org/drawingml/2006/picture">
                  <pic:nvPicPr>
                    <pic:cNvPr id="1027" name="オブジェクト 0"/>
                    <pic:cNvPicPr>
                      <a:picLocks noChangeAspect="1"/>
                    </pic:cNvPicPr>
                  </pic:nvPicPr>
                  <pic:blipFill>
                    <a:blip r:embed="rId10"/>
                    <a:stretch>
                      <a:fillRect/>
                    </a:stretch>
                  </pic:blipFill>
                  <pic:spPr>
                    <a:xfrm>
                      <a:off x="0" y="0"/>
                      <a:ext cx="5020310" cy="3876675"/>
                    </a:xfrm>
                    <a:prstGeom prst="rect">
                      <a:avLst/>
                    </a:prstGeom>
                  </pic:spPr>
                </pic:pic>
              </a:graphicData>
            </a:graphic>
          </wp:anchor>
        </w:drawing>
      </w:r>
    </w:p>
    <w:p>
      <w:pPr>
        <w:pStyle w:val="0"/>
        <w:widowControl w:val="1"/>
        <w:autoSpaceDE w:val="0"/>
        <w:autoSpaceDN w:val="0"/>
        <w:jc w:val="left"/>
        <w:rPr>
          <w:rFonts w:hint="default"/>
        </w:rPr>
      </w:pPr>
      <w:r>
        <w:rPr>
          <w:rFonts w:hint="default"/>
        </w:rPr>
        <w:br w:type="page"/>
      </w:r>
    </w:p>
    <w:p>
      <w:pPr>
        <w:pStyle w:val="37"/>
        <w:numPr>
          <w:numId w:val="0"/>
        </w:numPr>
        <w:ind w:leftChars="0" w:right="0" w:rightChars="0" w:firstLineChars="0"/>
        <w:rPr>
          <w:rFonts w:hint="default"/>
          <w:spacing w:val="-2"/>
        </w:rPr>
      </w:pPr>
      <w:bookmarkStart w:id="4" w:name="_Toc150813509"/>
      <w:bookmarkEnd w:id="4"/>
      <w:bookmarkStart w:id="5" w:name="_Toc155873038"/>
      <w:bookmarkEnd w:id="5"/>
      <w:bookmarkStart w:id="6" w:name="_Toc159757638"/>
      <w:bookmarkEnd w:id="6"/>
      <w:r>
        <w:rPr>
          <w:rFonts w:hint="eastAsia"/>
          <w:b w:val="1"/>
          <w:spacing w:val="-2"/>
        </w:rPr>
        <w:t>（２）日常生活圏域別人口の推移と推計</w:t>
      </w:r>
    </w:p>
    <w:p>
      <w:pPr>
        <w:pStyle w:val="0"/>
        <w:autoSpaceDE w:val="0"/>
        <w:autoSpaceDN w:val="0"/>
        <w:spacing w:before="165" w:beforeLines="50" w:beforeAutospacing="0" w:line="380" w:lineRule="exact"/>
        <w:ind w:left="425" w:leftChars="193"/>
        <w:jc w:val="center"/>
        <w:rPr>
          <w:rFonts w:hint="default" w:ascii="BIZ UDPゴシック" w:hAnsi="BIZ UDPゴシック" w:eastAsia="BIZ UDPゴシック"/>
          <w:sz w:val="21"/>
        </w:rPr>
      </w:pPr>
      <w:r>
        <w:rPr>
          <w:rFonts w:hint="eastAsia" w:ascii="BIZ UDPゴシック" w:hAnsi="BIZ UDPゴシック" w:eastAsia="BIZ UDPゴシック"/>
          <w:sz w:val="21"/>
        </w:rPr>
        <w:t>図表　日常生活圏域別人口の推移・推計（廿日市市）</w:t>
      </w:r>
    </w:p>
    <w:p>
      <w:pPr>
        <w:pStyle w:val="0"/>
        <w:autoSpaceDE w:val="0"/>
        <w:autoSpaceDN w:val="0"/>
        <w:spacing w:line="240" w:lineRule="exact"/>
        <w:ind w:left="425" w:leftChars="193"/>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（単位：人）</w:t>
      </w:r>
    </w:p>
    <w:tbl>
      <w:tblPr>
        <w:tblStyle w:val="42"/>
        <w:tblW w:w="8640" w:type="dxa"/>
        <w:tblInd w:w="421" w:type="dxa"/>
        <w:tblLayout w:type="fixed"/>
        <w:tblLook w:firstRow="1" w:lastRow="0" w:firstColumn="1" w:lastColumn="0" w:noHBand="0" w:noVBand="1" w:val="04A0"/>
      </w:tblPr>
      <w:tblGrid>
        <w:gridCol w:w="463"/>
        <w:gridCol w:w="257"/>
        <w:gridCol w:w="1081"/>
        <w:gridCol w:w="977"/>
        <w:gridCol w:w="977"/>
        <w:gridCol w:w="977"/>
        <w:gridCol w:w="977"/>
        <w:gridCol w:w="977"/>
        <w:gridCol w:w="977"/>
        <w:gridCol w:w="977"/>
      </w:tblGrid>
      <w:tr>
        <w:trPr>
          <w:trHeight w:val="283" w:hRule="atLeast"/>
        </w:trPr>
        <w:tc>
          <w:tcPr>
            <w:tcW w:w="1801" w:type="dxa"/>
            <w:gridSpan w:val="3"/>
            <w:vMerge w:val="restart"/>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圏域</w:t>
            </w:r>
          </w:p>
        </w:tc>
        <w:tc>
          <w:tcPr>
            <w:tcW w:w="2931"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実績値</w:t>
            </w:r>
          </w:p>
        </w:tc>
        <w:tc>
          <w:tcPr>
            <w:tcW w:w="3908" w:type="dxa"/>
            <w:gridSpan w:val="4"/>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推計値</w:t>
            </w:r>
          </w:p>
        </w:tc>
      </w:tr>
      <w:tr>
        <w:trPr>
          <w:trHeight w:val="454" w:hRule="atLeast"/>
        </w:trPr>
        <w:tc>
          <w:tcPr>
            <w:tcW w:w="1801" w:type="dxa"/>
            <w:gridSpan w:val="3"/>
            <w:vMerge w:val="continue"/>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sz w:val="18"/>
              </w:rPr>
            </w:pPr>
          </w:p>
        </w:tc>
        <w:tc>
          <w:tcPr>
            <w:tcW w:w="97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令和</w:t>
            </w:r>
            <w:r>
              <w:rPr>
                <w:rFonts w:hint="eastAsia" w:ascii="ＭＳ Ｐゴシック" w:hAnsi="ＭＳ Ｐゴシック" w:eastAsia="ＭＳ Ｐゴシック"/>
                <w:sz w:val="18"/>
              </w:rPr>
              <w:t>3</w:t>
            </w:r>
            <w:r>
              <w:rPr>
                <w:rFonts w:hint="eastAsia" w:ascii="ＭＳ Ｐゴシック" w:hAnsi="ＭＳ Ｐゴシック" w:eastAsia="ＭＳ Ｐゴシック"/>
                <w:sz w:val="18"/>
              </w:rPr>
              <w:t>年</w:t>
            </w:r>
          </w:p>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(2021</w:t>
            </w:r>
            <w:r>
              <w:rPr>
                <w:rFonts w:hint="eastAsia" w:ascii="ＭＳ Ｐゴシック" w:hAnsi="ＭＳ Ｐゴシック" w:eastAsia="ＭＳ Ｐゴシック"/>
                <w:sz w:val="18"/>
              </w:rPr>
              <w:t>年</w:t>
            </w:r>
            <w:r>
              <w:rPr>
                <w:rFonts w:hint="eastAsia" w:ascii="ＭＳ Ｐゴシック" w:hAnsi="ＭＳ Ｐゴシック" w:eastAsia="ＭＳ Ｐゴシック"/>
                <w:sz w:val="18"/>
              </w:rPr>
              <w:t>)</w:t>
            </w:r>
          </w:p>
        </w:tc>
        <w:tc>
          <w:tcPr>
            <w:tcW w:w="97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令和</w:t>
            </w:r>
            <w:r>
              <w:rPr>
                <w:rFonts w:hint="eastAsia" w:ascii="ＭＳ Ｐゴシック" w:hAnsi="ＭＳ Ｐゴシック" w:eastAsia="ＭＳ Ｐゴシック"/>
                <w:sz w:val="18"/>
              </w:rPr>
              <w:t>4</w:t>
            </w:r>
            <w:r>
              <w:rPr>
                <w:rFonts w:hint="eastAsia" w:ascii="ＭＳ Ｐゴシック" w:hAnsi="ＭＳ Ｐゴシック" w:eastAsia="ＭＳ Ｐゴシック"/>
                <w:sz w:val="18"/>
              </w:rPr>
              <w:t>年</w:t>
            </w:r>
          </w:p>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(2022</w:t>
            </w:r>
            <w:r>
              <w:rPr>
                <w:rFonts w:hint="eastAsia" w:ascii="ＭＳ Ｐゴシック" w:hAnsi="ＭＳ Ｐゴシック" w:eastAsia="ＭＳ Ｐゴシック"/>
                <w:sz w:val="18"/>
              </w:rPr>
              <w:t>年</w:t>
            </w:r>
            <w:r>
              <w:rPr>
                <w:rFonts w:hint="eastAsia" w:ascii="ＭＳ Ｐゴシック" w:hAnsi="ＭＳ Ｐゴシック" w:eastAsia="ＭＳ Ｐゴシック"/>
                <w:sz w:val="18"/>
              </w:rPr>
              <w:t>)</w:t>
            </w:r>
          </w:p>
        </w:tc>
        <w:tc>
          <w:tcPr>
            <w:tcW w:w="97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令和</w:t>
            </w:r>
            <w:r>
              <w:rPr>
                <w:rFonts w:hint="eastAsia" w:ascii="ＭＳ Ｐゴシック" w:hAnsi="ＭＳ Ｐゴシック" w:eastAsia="ＭＳ Ｐゴシック"/>
                <w:sz w:val="18"/>
              </w:rPr>
              <w:t>5</w:t>
            </w:r>
            <w:r>
              <w:rPr>
                <w:rFonts w:hint="eastAsia" w:ascii="ＭＳ Ｐゴシック" w:hAnsi="ＭＳ Ｐゴシック" w:eastAsia="ＭＳ Ｐゴシック"/>
                <w:sz w:val="18"/>
              </w:rPr>
              <w:t>年</w:t>
            </w:r>
          </w:p>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(2023</w:t>
            </w:r>
            <w:r>
              <w:rPr>
                <w:rFonts w:hint="eastAsia" w:ascii="ＭＳ Ｐゴシック" w:hAnsi="ＭＳ Ｐゴシック" w:eastAsia="ＭＳ Ｐゴシック"/>
                <w:sz w:val="18"/>
              </w:rPr>
              <w:t>年</w:t>
            </w:r>
            <w:r>
              <w:rPr>
                <w:rFonts w:hint="eastAsia" w:ascii="ＭＳ Ｐゴシック" w:hAnsi="ＭＳ Ｐゴシック" w:eastAsia="ＭＳ Ｐゴシック"/>
                <w:sz w:val="18"/>
              </w:rPr>
              <w:t>)</w:t>
            </w:r>
          </w:p>
        </w:tc>
        <w:tc>
          <w:tcPr>
            <w:tcW w:w="97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令和</w:t>
            </w:r>
            <w:r>
              <w:rPr>
                <w:rFonts w:hint="eastAsia" w:ascii="ＭＳ Ｐゴシック" w:hAnsi="ＭＳ Ｐゴシック" w:eastAsia="ＭＳ Ｐゴシック"/>
                <w:sz w:val="18"/>
              </w:rPr>
              <w:t>7</w:t>
            </w:r>
            <w:r>
              <w:rPr>
                <w:rFonts w:hint="eastAsia" w:ascii="ＭＳ Ｐゴシック" w:hAnsi="ＭＳ Ｐゴシック" w:eastAsia="ＭＳ Ｐゴシック"/>
                <w:sz w:val="18"/>
              </w:rPr>
              <w:t>年</w:t>
            </w:r>
          </w:p>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(2025</w:t>
            </w:r>
            <w:r>
              <w:rPr>
                <w:rFonts w:hint="eastAsia" w:ascii="ＭＳ Ｐゴシック" w:hAnsi="ＭＳ Ｐゴシック" w:eastAsia="ＭＳ Ｐゴシック"/>
                <w:sz w:val="18"/>
              </w:rPr>
              <w:t>年</w:t>
            </w:r>
            <w:r>
              <w:rPr>
                <w:rFonts w:hint="eastAsia" w:ascii="ＭＳ Ｐゴシック" w:hAnsi="ＭＳ Ｐゴシック" w:eastAsia="ＭＳ Ｐゴシック"/>
                <w:sz w:val="18"/>
              </w:rPr>
              <w:t>)</w:t>
            </w:r>
          </w:p>
        </w:tc>
        <w:tc>
          <w:tcPr>
            <w:tcW w:w="97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令和</w:t>
            </w:r>
            <w:r>
              <w:rPr>
                <w:rFonts w:hint="eastAsia" w:ascii="ＭＳ Ｐゴシック" w:hAnsi="ＭＳ Ｐゴシック" w:eastAsia="ＭＳ Ｐゴシック"/>
                <w:sz w:val="18"/>
              </w:rPr>
              <w:t>12</w:t>
            </w:r>
            <w:r>
              <w:rPr>
                <w:rFonts w:hint="eastAsia" w:ascii="ＭＳ Ｐゴシック" w:hAnsi="ＭＳ Ｐゴシック" w:eastAsia="ＭＳ Ｐゴシック"/>
                <w:sz w:val="18"/>
              </w:rPr>
              <w:t>年</w:t>
            </w:r>
          </w:p>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(2030</w:t>
            </w:r>
            <w:r>
              <w:rPr>
                <w:rFonts w:hint="eastAsia" w:ascii="ＭＳ Ｐゴシック" w:hAnsi="ＭＳ Ｐゴシック" w:eastAsia="ＭＳ Ｐゴシック"/>
                <w:sz w:val="18"/>
              </w:rPr>
              <w:t>年</w:t>
            </w:r>
            <w:r>
              <w:rPr>
                <w:rFonts w:hint="eastAsia" w:ascii="ＭＳ Ｐゴシック" w:hAnsi="ＭＳ Ｐゴシック" w:eastAsia="ＭＳ Ｐゴシック"/>
                <w:sz w:val="18"/>
              </w:rPr>
              <w:t>)</w:t>
            </w:r>
          </w:p>
        </w:tc>
        <w:tc>
          <w:tcPr>
            <w:tcW w:w="97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令和</w:t>
            </w:r>
            <w:r>
              <w:rPr>
                <w:rFonts w:hint="eastAsia" w:ascii="ＭＳ Ｐゴシック" w:hAnsi="ＭＳ Ｐゴシック" w:eastAsia="ＭＳ Ｐゴシック"/>
                <w:sz w:val="18"/>
              </w:rPr>
              <w:t>17</w:t>
            </w:r>
            <w:r>
              <w:rPr>
                <w:rFonts w:hint="eastAsia" w:ascii="ＭＳ Ｐゴシック" w:hAnsi="ＭＳ Ｐゴシック" w:eastAsia="ＭＳ Ｐゴシック"/>
                <w:sz w:val="18"/>
              </w:rPr>
              <w:t>年</w:t>
            </w:r>
          </w:p>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(2035</w:t>
            </w:r>
            <w:r>
              <w:rPr>
                <w:rFonts w:hint="eastAsia" w:ascii="ＭＳ Ｐゴシック" w:hAnsi="ＭＳ Ｐゴシック" w:eastAsia="ＭＳ Ｐゴシック"/>
                <w:sz w:val="18"/>
              </w:rPr>
              <w:t>年</w:t>
            </w:r>
            <w:r>
              <w:rPr>
                <w:rFonts w:hint="eastAsia" w:ascii="ＭＳ Ｐゴシック" w:hAnsi="ＭＳ Ｐゴシック" w:eastAsia="ＭＳ Ｐゴシック"/>
                <w:sz w:val="18"/>
              </w:rPr>
              <w:t>)</w:t>
            </w:r>
          </w:p>
        </w:tc>
        <w:tc>
          <w:tcPr>
            <w:tcW w:w="97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令和</w:t>
            </w:r>
            <w:r>
              <w:rPr>
                <w:rFonts w:hint="eastAsia" w:ascii="ＭＳ Ｐゴシック" w:hAnsi="ＭＳ Ｐゴシック" w:eastAsia="ＭＳ Ｐゴシック"/>
                <w:sz w:val="18"/>
              </w:rPr>
              <w:t>22</w:t>
            </w:r>
            <w:r>
              <w:rPr>
                <w:rFonts w:hint="eastAsia" w:ascii="ＭＳ Ｐゴシック" w:hAnsi="ＭＳ Ｐゴシック" w:eastAsia="ＭＳ Ｐゴシック"/>
                <w:sz w:val="18"/>
              </w:rPr>
              <w:t>年</w:t>
            </w:r>
          </w:p>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(2040</w:t>
            </w:r>
            <w:r>
              <w:rPr>
                <w:rFonts w:hint="eastAsia" w:ascii="ＭＳ Ｐゴシック" w:hAnsi="ＭＳ Ｐゴシック" w:eastAsia="ＭＳ Ｐゴシック"/>
                <w:sz w:val="18"/>
              </w:rPr>
              <w:t>年</w:t>
            </w:r>
            <w:r>
              <w:rPr>
                <w:rFonts w:hint="eastAsia" w:ascii="ＭＳ Ｐゴシック" w:hAnsi="ＭＳ Ｐゴシック" w:eastAsia="ＭＳ Ｐゴシック"/>
                <w:sz w:val="18"/>
              </w:rPr>
              <w:t>)</w:t>
            </w:r>
          </w:p>
        </w:tc>
      </w:tr>
      <w:tr>
        <w:trPr>
          <w:cantSplit/>
          <w:trHeight w:val="159" w:hRule="atLeast"/>
        </w:trPr>
        <w:tc>
          <w:tcPr>
            <w:tcW w:w="463" w:type="dxa"/>
            <w:vMerge w:val="restart"/>
            <w:textDirection w:val="tbRlV"/>
            <w:vAlign w:val="center"/>
          </w:tcPr>
          <w:p>
            <w:pPr>
              <w:pStyle w:val="0"/>
              <w:autoSpaceDE w:val="0"/>
              <w:autoSpaceDN w:val="0"/>
              <w:ind w:left="113" w:right="113"/>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廿日市東部</w:t>
            </w:r>
          </w:p>
        </w:tc>
        <w:tc>
          <w:tcPr>
            <w:tcW w:w="1338" w:type="dxa"/>
            <w:gridSpan w:val="2"/>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autoSpaceDE w:val="0"/>
              <w:autoSpaceDN w:val="0"/>
              <w:spacing w:line="22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総人口</w:t>
            </w:r>
          </w:p>
        </w:tc>
        <w:tc>
          <w:tcPr>
            <w:tcW w:w="97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31,653</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31,559</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31,554</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31,533</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31,303</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30,874</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30,285</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spacing w:line="220" w:lineRule="exact"/>
              <w:jc w:val="center"/>
              <w:rPr>
                <w:rFonts w:hint="default" w:ascii="ＭＳ Ｐゴシック" w:hAnsi="ＭＳ Ｐゴシック" w:eastAsia="ＭＳ Ｐゴシック"/>
                <w:sz w:val="18"/>
              </w:rPr>
            </w:pPr>
          </w:p>
        </w:tc>
        <w:tc>
          <w:tcPr>
            <w:tcW w:w="1081"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autoSpaceDE w:val="0"/>
              <w:autoSpaceDN w:val="0"/>
              <w:spacing w:line="22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65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7,667</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7,704</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7,719</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7,786</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8,099</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8,510</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9,139</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20" w:lineRule="exact"/>
              <w:jc w:val="center"/>
              <w:rPr>
                <w:rFonts w:hint="default" w:ascii="ＭＳ Ｐゴシック" w:hAnsi="ＭＳ Ｐゴシック" w:eastAsia="ＭＳ Ｐゴシック"/>
                <w:sz w:val="18"/>
              </w:rPr>
            </w:pPr>
          </w:p>
        </w:tc>
        <w:tc>
          <w:tcPr>
            <w:tcW w:w="1081" w:type="dxa"/>
            <w:vMerge w:val="continue"/>
            <w:tcBorders>
              <w:top w:val="nil"/>
              <w:left w:val="none" w:color="auto" w:sz="0" w:space="0"/>
              <w:bottom w:val="none" w:color="auto" w:sz="0" w:space="0"/>
              <w:right w:val="single" w:color="auto" w:sz="4" w:space="0"/>
              <w:tl2br w:val="none" w:color="auto" w:sz="0" w:space="0"/>
              <w:tr2bl w:val="none" w:color="auto" w:sz="0" w:space="0"/>
            </w:tcBorders>
            <w:vAlign w:val="center"/>
          </w:tcPr>
          <w:p>
            <w:pPr>
              <w:pStyle w:val="0"/>
              <w:autoSpaceDE w:val="0"/>
              <w:autoSpaceDN w:val="0"/>
              <w:spacing w:line="22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24.2%</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24.4%</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24.5%</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24.7%</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25.9%</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27.6%</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30.2%</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20" w:lineRule="exact"/>
              <w:jc w:val="center"/>
              <w:rPr>
                <w:rFonts w:hint="default" w:ascii="ＭＳ Ｐゴシック" w:hAnsi="ＭＳ Ｐゴシック" w:eastAsia="ＭＳ Ｐゴシック"/>
                <w:sz w:val="18"/>
              </w:rPr>
            </w:pPr>
          </w:p>
        </w:tc>
        <w:tc>
          <w:tcPr>
            <w:tcW w:w="1081"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autoSpaceDE w:val="0"/>
              <w:autoSpaceDN w:val="0"/>
              <w:spacing w:line="22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75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3,960</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4,146</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4,292</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4,577</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4,777</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4,722</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4,755</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20" w:lineRule="exact"/>
              <w:jc w:val="center"/>
              <w:rPr>
                <w:rFonts w:hint="default" w:ascii="ＭＳ Ｐゴシック" w:hAnsi="ＭＳ Ｐゴシック" w:eastAsia="ＭＳ Ｐゴシック"/>
                <w:sz w:val="18"/>
              </w:rPr>
            </w:pPr>
          </w:p>
        </w:tc>
        <w:tc>
          <w:tcPr>
            <w:tcW w:w="1081"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autoSpaceDE w:val="0"/>
              <w:autoSpaceDN w:val="0"/>
              <w:spacing w:line="22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12.5%</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13.1%</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13.6%</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14.5%</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15.3%</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15.3%</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15.7%</w:t>
            </w:r>
          </w:p>
        </w:tc>
      </w:tr>
      <w:tr>
        <w:trPr>
          <w:cantSplit/>
          <w:trHeight w:val="159" w:hRule="atLeast"/>
        </w:trPr>
        <w:tc>
          <w:tcPr>
            <w:tcW w:w="463" w:type="dxa"/>
            <w:vMerge w:val="restart"/>
            <w:textDirection w:val="tbRlV"/>
            <w:vAlign w:val="center"/>
          </w:tcPr>
          <w:p>
            <w:pPr>
              <w:pStyle w:val="0"/>
              <w:autoSpaceDE w:val="0"/>
              <w:autoSpaceDN w:val="0"/>
              <w:ind w:left="113" w:right="113"/>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廿日市中部</w:t>
            </w:r>
          </w:p>
        </w:tc>
        <w:tc>
          <w:tcPr>
            <w:tcW w:w="1338" w:type="dxa"/>
            <w:gridSpan w:val="2"/>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総人口</w:t>
            </w:r>
          </w:p>
        </w:tc>
        <w:tc>
          <w:tcPr>
            <w:tcW w:w="97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24,028</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23,968</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24,035</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23,960</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23,590</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22,862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21,770</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65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7,303</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7,516</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7,717</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8,074</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8,460</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8,288</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8,081</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30.4%</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31.4%</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32.1%</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33.7</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35.9</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36.3</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37.1%</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75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2,977</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3,171</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3,363</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3,851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4,839</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5,449</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5,353</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12.4%</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13.2%</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14.0%</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16.1</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20.5</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23.8</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24.6%</w:t>
            </w:r>
          </w:p>
        </w:tc>
      </w:tr>
      <w:tr>
        <w:trPr>
          <w:cantSplit/>
          <w:trHeight w:val="261" w:hRule="atLeast"/>
        </w:trPr>
        <w:tc>
          <w:tcPr>
            <w:tcW w:w="463" w:type="dxa"/>
            <w:vMerge w:val="restart"/>
            <w:textDirection w:val="tbRlV"/>
            <w:vAlign w:val="center"/>
          </w:tcPr>
          <w:p>
            <w:pPr>
              <w:pStyle w:val="0"/>
              <w:autoSpaceDE w:val="0"/>
              <w:autoSpaceDN w:val="0"/>
              <w:ind w:left="113" w:right="113"/>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廿日市西部</w:t>
            </w:r>
          </w:p>
        </w:tc>
        <w:tc>
          <w:tcPr>
            <w:tcW w:w="1338" w:type="dxa"/>
            <w:gridSpan w:val="2"/>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総人口</w:t>
            </w:r>
          </w:p>
        </w:tc>
        <w:tc>
          <w:tcPr>
            <w:tcW w:w="97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20,362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20,350</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20,180</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19,955</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19,201</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18,250</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17,175</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65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7,011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7,078</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7,126</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7,176</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7,039</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6,818</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6,686</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34.4%</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34.8%</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35.3%</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36.0</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36.7</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37.4</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38.9%</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75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3,368</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3,623</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3,841</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4,272</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4,742</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4,663</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4,242</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16.5%</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17.8%</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19.0%</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21.4</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24.7</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25.6</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24.7%</w:t>
            </w:r>
          </w:p>
        </w:tc>
      </w:tr>
      <w:tr>
        <w:trPr>
          <w:cantSplit/>
          <w:trHeight w:val="159" w:hRule="atLeast"/>
        </w:trPr>
        <w:tc>
          <w:tcPr>
            <w:tcW w:w="463" w:type="dxa"/>
            <w:vMerge w:val="restart"/>
            <w:textDirection w:val="tbRlV"/>
            <w:vAlign w:val="center"/>
          </w:tcPr>
          <w:p>
            <w:pPr>
              <w:pStyle w:val="0"/>
              <w:autoSpaceDE w:val="0"/>
              <w:autoSpaceDN w:val="0"/>
              <w:ind w:left="113" w:right="113"/>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佐伯</w:t>
            </w:r>
          </w:p>
        </w:tc>
        <w:tc>
          <w:tcPr>
            <w:tcW w:w="1338" w:type="dxa"/>
            <w:gridSpan w:val="2"/>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総人口</w:t>
            </w:r>
          </w:p>
        </w:tc>
        <w:tc>
          <w:tcPr>
            <w:tcW w:w="97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9,247</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9,088</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8,890</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8,512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7,544</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6,592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5,636</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65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3,954</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3,956</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3,933</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3,895</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3,634</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3,383</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3,075</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42.8%</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43.5%</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44.2%</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45.8</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48.2%</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51.3</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54.6%</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75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1,965</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2,039</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2,121</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2,254</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2,353</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2,251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1,977</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21.3%</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22.4%</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23.9%</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26.5</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31.2</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34.1</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35.1%</w:t>
            </w:r>
          </w:p>
        </w:tc>
      </w:tr>
      <w:tr>
        <w:trPr>
          <w:cantSplit/>
          <w:trHeight w:val="159" w:hRule="atLeast"/>
        </w:trPr>
        <w:tc>
          <w:tcPr>
            <w:tcW w:w="463" w:type="dxa"/>
            <w:vMerge w:val="restart"/>
            <w:textDirection w:val="tbRlV"/>
            <w:vAlign w:val="center"/>
          </w:tcPr>
          <w:p>
            <w:pPr>
              <w:pStyle w:val="0"/>
              <w:autoSpaceDE w:val="0"/>
              <w:autoSpaceDN w:val="0"/>
              <w:ind w:left="113" w:right="113"/>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吉和</w:t>
            </w:r>
          </w:p>
        </w:tc>
        <w:tc>
          <w:tcPr>
            <w:tcW w:w="1338" w:type="dxa"/>
            <w:gridSpan w:val="2"/>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総人口</w:t>
            </w:r>
          </w:p>
        </w:tc>
        <w:tc>
          <w:tcPr>
            <w:tcW w:w="97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609</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589</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573</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567</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517</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479</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431</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65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313</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306</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299</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298</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271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250</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253</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51.4%</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52.0%</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52.2%</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52.6</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52.4</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52.2</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58.7%</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75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201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200</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197</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204</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180</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168</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151</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33.0%</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34.0%</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34.4%</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36.0</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34.8</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35.1</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35.0%</w:t>
            </w:r>
          </w:p>
        </w:tc>
      </w:tr>
      <w:tr>
        <w:trPr>
          <w:cantSplit/>
          <w:trHeight w:val="159" w:hRule="atLeast"/>
        </w:trPr>
        <w:tc>
          <w:tcPr>
            <w:tcW w:w="463" w:type="dxa"/>
            <w:vMerge w:val="restart"/>
            <w:textDirection w:val="tbRlV"/>
            <w:vAlign w:val="center"/>
          </w:tcPr>
          <w:p>
            <w:pPr>
              <w:pStyle w:val="0"/>
              <w:autoSpaceDE w:val="0"/>
              <w:autoSpaceDN w:val="0"/>
              <w:ind w:left="113" w:right="113"/>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大野</w:t>
            </w:r>
          </w:p>
        </w:tc>
        <w:tc>
          <w:tcPr>
            <w:tcW w:w="1338" w:type="dxa"/>
            <w:gridSpan w:val="2"/>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総人口</w:t>
            </w:r>
          </w:p>
        </w:tc>
        <w:tc>
          <w:tcPr>
            <w:tcW w:w="97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29,427</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29,366</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29,421</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29,359</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28,981</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28,287</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27,367</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65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8,914</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8,955</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8,990</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9,019</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8,990</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9,031</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9,297</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30.3%</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30.5%</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30.6%</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30.7</w:t>
            </w:r>
            <w:r>
              <w:rPr>
                <w:rFonts w:hint="default" w:ascii="ＭＳ Ｐゴシック" w:hAnsi="ＭＳ Ｐゴシック" w:eastAsia="ＭＳ Ｐゴシック"/>
                <w:sz w:val="18"/>
              </w:rPr>
              <w:t>%</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31.0</w:t>
            </w:r>
            <w:r>
              <w:rPr>
                <w:rFonts w:hint="default" w:ascii="ＭＳ Ｐゴシック" w:hAnsi="ＭＳ Ｐゴシック" w:eastAsia="ＭＳ Ｐゴシック"/>
                <w:sz w:val="18"/>
              </w:rPr>
              <w:t>%</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31.9</w:t>
            </w:r>
            <w:r>
              <w:rPr>
                <w:rFonts w:hint="default" w:ascii="ＭＳ Ｐゴシック" w:hAnsi="ＭＳ Ｐゴシック" w:eastAsia="ＭＳ Ｐゴシック"/>
                <w:sz w:val="18"/>
              </w:rPr>
              <w:t>%</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34.0%</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75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4,644</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4,904</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5,118</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5,522</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5,793</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5,650</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5,308</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15.8%</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16.7%</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17.4%</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18.8</w:t>
            </w:r>
            <w:r>
              <w:rPr>
                <w:rFonts w:hint="default" w:ascii="ＭＳ Ｐゴシック" w:hAnsi="ＭＳ Ｐゴシック" w:eastAsia="ＭＳ Ｐゴシック"/>
                <w:sz w:val="18"/>
              </w:rPr>
              <w:t>%</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20.0</w:t>
            </w:r>
            <w:r>
              <w:rPr>
                <w:rFonts w:hint="default" w:ascii="ＭＳ Ｐゴシック" w:hAnsi="ＭＳ Ｐゴシック" w:eastAsia="ＭＳ Ｐゴシック"/>
                <w:sz w:val="18"/>
              </w:rPr>
              <w:t>%</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20.0</w:t>
            </w:r>
            <w:r>
              <w:rPr>
                <w:rFonts w:hint="default" w:ascii="ＭＳ Ｐゴシック" w:hAnsi="ＭＳ Ｐゴシック" w:eastAsia="ＭＳ Ｐゴシック"/>
                <w:sz w:val="18"/>
              </w:rPr>
              <w:t>%</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19.4%</w:t>
            </w:r>
          </w:p>
        </w:tc>
      </w:tr>
      <w:tr>
        <w:trPr>
          <w:cantSplit/>
          <w:trHeight w:val="159" w:hRule="atLeast"/>
        </w:trPr>
        <w:tc>
          <w:tcPr>
            <w:tcW w:w="463" w:type="dxa"/>
            <w:vMerge w:val="restart"/>
            <w:textDirection w:val="tbRlV"/>
            <w:vAlign w:val="center"/>
          </w:tcPr>
          <w:p>
            <w:pPr>
              <w:pStyle w:val="0"/>
              <w:autoSpaceDE w:val="0"/>
              <w:autoSpaceDN w:val="0"/>
              <w:ind w:left="113" w:right="113"/>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宮島</w:t>
            </w:r>
          </w:p>
        </w:tc>
        <w:tc>
          <w:tcPr>
            <w:tcW w:w="1338" w:type="dxa"/>
            <w:gridSpan w:val="2"/>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総人口</w:t>
            </w:r>
          </w:p>
        </w:tc>
        <w:tc>
          <w:tcPr>
            <w:tcW w:w="97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1,462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1,440</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1,415</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1,392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1,322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1,262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1,186</w:t>
            </w:r>
          </w:p>
        </w:tc>
      </w:tr>
      <w:tr>
        <w:trPr>
          <w:cantSplit/>
          <w:trHeight w:val="159" w:hRule="atLeast"/>
        </w:trPr>
        <w:tc>
          <w:tcPr>
            <w:tcW w:w="463"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257"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65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701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693</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676</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660</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581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510</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462</w:t>
            </w:r>
          </w:p>
        </w:tc>
      </w:tr>
      <w:tr>
        <w:trPr>
          <w:cantSplit/>
          <w:trHeight w:val="159" w:hRule="atLeast"/>
        </w:trPr>
        <w:tc>
          <w:tcPr>
            <w:tcW w:w="463"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47.9%</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48.1%</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47.8%</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47.4</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43.9</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40.4</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39.0%</w:t>
            </w:r>
          </w:p>
        </w:tc>
      </w:tr>
      <w:tr>
        <w:trPr>
          <w:cantSplit/>
          <w:trHeight w:val="159" w:hRule="atLeast"/>
        </w:trPr>
        <w:tc>
          <w:tcPr>
            <w:tcW w:w="463"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75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421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426</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435</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458</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431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371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300</w:t>
            </w:r>
          </w:p>
        </w:tc>
      </w:tr>
      <w:tr>
        <w:trPr>
          <w:cantSplit/>
          <w:trHeight w:val="159" w:hRule="atLeast"/>
        </w:trPr>
        <w:tc>
          <w:tcPr>
            <w:tcW w:w="463" w:type="dxa"/>
            <w:vMerge w:val="continue"/>
            <w:textDirection w:val="tbRlV"/>
            <w:vAlign w:val="top"/>
          </w:tcPr>
          <w:p>
            <w:pPr>
              <w:pStyle w:val="0"/>
              <w:rPr>
                <w:rFonts w:hint="eastAsia"/>
              </w:rPr>
            </w:pPr>
          </w:p>
        </w:tc>
        <w:tc>
          <w:tcPr>
            <w:tcW w:w="257" w:type="dxa"/>
            <w:vMerge w:val="continue"/>
            <w:vAlign w:val="top"/>
          </w:tcPr>
          <w:p>
            <w:pPr>
              <w:pStyle w:val="0"/>
              <w:rPr>
                <w:rFonts w:hint="eastAsia"/>
              </w:rPr>
            </w:pPr>
          </w:p>
        </w:tc>
        <w:tc>
          <w:tcPr>
            <w:tcW w:w="1081" w:type="dxa"/>
            <w:vMerge w:val="continue"/>
            <w:vAlign w:val="top"/>
          </w:tcPr>
          <w:p>
            <w:pPr>
              <w:pStyle w:val="0"/>
              <w:rPr>
                <w:rFonts w:hint="eastAsia"/>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28.8%</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29.6%</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30.7%</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32.9</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32.6</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29.4</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25.3%</w:t>
            </w:r>
          </w:p>
        </w:tc>
      </w:tr>
    </w:tbl>
    <w:p>
      <w:pPr>
        <w:pStyle w:val="0"/>
        <w:widowControl w:val="1"/>
        <w:autoSpaceDE w:val="0"/>
        <w:autoSpaceDN w:val="0"/>
        <w:spacing w:before="66" w:beforeLines="20" w:beforeAutospacing="0" w:line="220" w:lineRule="exact"/>
        <w:ind w:left="850" w:leftChars="182" w:hanging="450" w:hangingChars="250"/>
        <w:jc w:val="left"/>
        <w:rPr>
          <w:rFonts w:hint="default" w:ascii="BIZ UDPゴシック" w:hAnsi="BIZ UDPゴシック" w:eastAsia="BIZ UDPゴシック"/>
        </w:rPr>
      </w:pPr>
      <w:r>
        <w:rPr>
          <w:rFonts w:hint="eastAsia" w:ascii="BIZ UDPゴシック" w:hAnsi="BIZ UDPゴシック" w:eastAsia="BIZ UDPゴシック"/>
          <w:sz w:val="18"/>
        </w:rPr>
        <w:t>資料：</w:t>
      </w:r>
      <w:r>
        <w:rPr>
          <w:rFonts w:hint="eastAsia" w:ascii="BIZ UDPゴシック" w:hAnsi="BIZ UDPゴシック" w:eastAsia="BIZ UDPゴシック"/>
          <w:sz w:val="18"/>
          <w:highlight w:val="none"/>
        </w:rPr>
        <w:t>令和３年から令和５</w:t>
      </w:r>
      <w:r>
        <w:rPr>
          <w:rFonts w:hint="default" w:ascii="BIZ UDPゴシック" w:hAnsi="BIZ UDPゴシック" w:eastAsia="BIZ UDPゴシック"/>
          <w:sz w:val="18"/>
          <w:highlight w:val="none"/>
        </w:rPr>
        <w:t>年住民基本台帳人口（</w:t>
      </w:r>
      <w:r>
        <w:rPr>
          <w:rFonts w:hint="eastAsia" w:ascii="BIZ UDPゴシック" w:hAnsi="BIZ UDPゴシック" w:eastAsia="BIZ UDPゴシック"/>
          <w:sz w:val="18"/>
          <w:highlight w:val="none"/>
        </w:rPr>
        <w:t>各年</w:t>
      </w:r>
      <w:r>
        <w:rPr>
          <w:rFonts w:hint="default" w:ascii="BIZ UDPゴシック" w:hAnsi="BIZ UDPゴシック" w:eastAsia="BIZ UDPゴシック"/>
          <w:sz w:val="18"/>
          <w:highlight w:val="none"/>
        </w:rPr>
        <w:t>10</w:t>
      </w:r>
      <w:r>
        <w:rPr>
          <w:rFonts w:hint="default" w:ascii="BIZ UDPゴシック" w:hAnsi="BIZ UDPゴシック" w:eastAsia="BIZ UDPゴシック"/>
          <w:sz w:val="18"/>
          <w:highlight w:val="none"/>
        </w:rPr>
        <w:t>月</w:t>
      </w:r>
      <w:r>
        <w:rPr>
          <w:rFonts w:hint="eastAsia" w:ascii="BIZ UDPゴシック" w:hAnsi="BIZ UDPゴシック" w:eastAsia="BIZ UDPゴシック"/>
          <w:sz w:val="18"/>
          <w:highlight w:val="none"/>
        </w:rPr>
        <w:t>１</w:t>
      </w:r>
      <w:r>
        <w:rPr>
          <w:rFonts w:hint="default" w:ascii="BIZ UDPゴシック" w:hAnsi="BIZ UDPゴシック" w:eastAsia="BIZ UDPゴシック"/>
          <w:sz w:val="18"/>
          <w:highlight w:val="none"/>
        </w:rPr>
        <w:t>日現在）・令和</w:t>
      </w:r>
      <w:r>
        <w:rPr>
          <w:rFonts w:hint="eastAsia" w:ascii="BIZ UDPゴシック" w:hAnsi="BIZ UDPゴシック" w:eastAsia="BIZ UDPゴシック"/>
          <w:sz w:val="18"/>
          <w:highlight w:val="none"/>
        </w:rPr>
        <w:t>７</w:t>
      </w:r>
      <w:r>
        <w:rPr>
          <w:rFonts w:hint="default" w:ascii="BIZ UDPゴシック" w:hAnsi="BIZ UDPゴシック" w:eastAsia="BIZ UDPゴシック"/>
          <w:sz w:val="18"/>
          <w:highlight w:val="none"/>
        </w:rPr>
        <w:t>年</w:t>
      </w:r>
      <w:r>
        <w:rPr>
          <w:rFonts w:hint="eastAsia" w:ascii="BIZ UDPゴシック" w:hAnsi="BIZ UDPゴシック" w:eastAsia="BIZ UDPゴシック"/>
          <w:sz w:val="18"/>
          <w:highlight w:val="none"/>
        </w:rPr>
        <w:t>から</w:t>
      </w:r>
      <w:r>
        <w:rPr>
          <w:rFonts w:hint="default" w:ascii="BIZ UDPゴシック" w:hAnsi="BIZ UDPゴシック" w:eastAsia="BIZ UDPゴシック"/>
          <w:sz w:val="18"/>
          <w:highlight w:val="none"/>
        </w:rPr>
        <w:t>住民基本台帳人口を基として推計した圏域別人口割合を市全体の推計値に按分して算出</w:t>
      </w:r>
      <w:r>
        <w:rPr>
          <w:rFonts w:hint="default" w:ascii="BIZ UDPゴシック" w:hAnsi="BIZ UDPゴシック" w:eastAsia="BIZ UDPゴシック"/>
        </w:rPr>
        <w:br w:type="page"/>
      </w:r>
    </w:p>
    <w:p>
      <w:pPr>
        <w:pStyle w:val="19"/>
        <w:spacing w:before="190" w:beforeLines="0" w:beforeAutospacing="0"/>
        <w:jc w:val="left"/>
        <w:rPr>
          <w:rFonts w:hint="default"/>
        </w:rPr>
      </w:pPr>
      <w:bookmarkStart w:id="7" w:name="_Toc150813510"/>
      <w:bookmarkEnd w:id="7"/>
      <w:bookmarkStart w:id="8" w:name="_Toc155873039"/>
      <w:bookmarkEnd w:id="8"/>
      <w:bookmarkStart w:id="9" w:name="_Toc159757639"/>
      <w:bookmarkEnd w:id="9"/>
      <w:r>
        <w:rPr>
          <w:rFonts w:hint="eastAsia"/>
          <w:b w:val="1"/>
        </w:rPr>
        <w:t>（３）日常生活圏域別の介護サービス事業所数</w:t>
      </w:r>
    </w:p>
    <w:p>
      <w:pPr>
        <w:pStyle w:val="19"/>
        <w:spacing w:before="190" w:beforeLines="0" w:beforeAutospacing="0"/>
        <w:rPr>
          <w:rFonts w:hint="default"/>
        </w:rPr>
      </w:pPr>
      <w:r>
        <w:rPr>
          <w:rFonts w:hint="eastAsia"/>
        </w:rPr>
        <w:t>図表　日常生活圏域別介護サービ</w:t>
      </w:r>
      <w:r>
        <w:rPr>
          <w:rStyle w:val="39"/>
          <w:rFonts w:hint="eastAsia"/>
        </w:rPr>
        <w:t>ス事業所数（令和５（</w:t>
      </w:r>
      <w:r>
        <w:rPr>
          <w:rStyle w:val="39"/>
          <w:rFonts w:hint="eastAsia"/>
        </w:rPr>
        <w:t>2023</w:t>
      </w:r>
      <w:r>
        <w:rPr>
          <w:rStyle w:val="39"/>
          <w:rFonts w:hint="eastAsia"/>
        </w:rPr>
        <w:t>）年４月１日現在）</w:t>
      </w:r>
    </w:p>
    <w:p>
      <w:pPr>
        <w:pStyle w:val="0"/>
        <w:autoSpaceDE w:val="0"/>
        <w:autoSpaceDN w:val="0"/>
        <w:spacing w:line="240" w:lineRule="exact"/>
        <w:ind w:left="425" w:leftChars="193"/>
        <w:jc w:val="right"/>
        <w:rPr>
          <w:rFonts w:hint="default" w:ascii="ＭＳ Ｐゴシック" w:hAnsi="ＭＳ Ｐゴシック" w:eastAsia="ＭＳ Ｐゴシック"/>
          <w:color w:val="000000" w:themeColor="text1"/>
          <w:sz w:val="18"/>
        </w:rPr>
      </w:pPr>
      <w:r>
        <w:rPr>
          <w:rFonts w:hint="eastAsia" w:ascii="ＭＳ Ｐゴシック" w:hAnsi="ＭＳ Ｐゴシック" w:eastAsia="ＭＳ Ｐゴシック"/>
          <w:color w:val="000000" w:themeColor="text1"/>
          <w:sz w:val="18"/>
        </w:rPr>
        <w:t>（単位：事業所）</w:t>
      </w:r>
    </w:p>
    <w:tbl>
      <w:tblPr>
        <w:tblStyle w:val="42"/>
        <w:tblW w:w="8640" w:type="dxa"/>
        <w:tblInd w:w="421" w:type="dxa"/>
        <w:tblLayout w:type="fixed"/>
        <w:tblLook w:firstRow="1" w:lastRow="0" w:firstColumn="1" w:lastColumn="0" w:noHBand="0" w:noVBand="1" w:val="04A0"/>
      </w:tblPr>
      <w:tblGrid>
        <w:gridCol w:w="850"/>
        <w:gridCol w:w="2410"/>
        <w:gridCol w:w="672"/>
        <w:gridCol w:w="702"/>
        <w:gridCol w:w="643"/>
        <w:gridCol w:w="673"/>
        <w:gridCol w:w="672"/>
        <w:gridCol w:w="673"/>
        <w:gridCol w:w="672"/>
        <w:gridCol w:w="673"/>
      </w:tblGrid>
      <w:tr>
        <w:trPr/>
        <w:tc>
          <w:tcPr>
            <w:tcW w:w="850" w:type="dxa"/>
            <w:tcBorders>
              <w:top w:val="single" w:color="auto" w:sz="4" w:space="0"/>
              <w:left w:val="none" w:color="auto" w:sz="0" w:space="0"/>
              <w:bottom w:val="single" w:color="auto" w:sz="4" w:space="0"/>
              <w:right w:val="single" w:color="auto" w:sz="4" w:space="0"/>
              <w:tl2br w:val="none" w:color="auto" w:sz="0" w:space="0"/>
              <w:tr2bl w:val="none" w:color="auto" w:sz="0" w:space="0"/>
            </w:tcBorders>
            <w:shd w:val="clear" w:color="auto" w:fill="CCECFF"/>
            <w:vAlign w:val="top"/>
          </w:tcPr>
          <w:p>
            <w:pPr>
              <w:pStyle w:val="0"/>
              <w:autoSpaceDE w:val="0"/>
              <w:autoSpaceDN w:val="0"/>
              <w:spacing w:line="260" w:lineRule="exact"/>
              <w:ind w:left="440"/>
              <w:jc w:val="center"/>
              <w:rPr>
                <w:rFonts w:hint="default" w:ascii="ＭＳ Ｐゴシック" w:hAnsi="ＭＳ Ｐゴシック" w:eastAsia="ＭＳ Ｐゴシック"/>
                <w:color w:val="000000" w:themeColor="text1"/>
                <w:sz w:val="20"/>
              </w:rPr>
            </w:pPr>
          </w:p>
        </w:tc>
        <w:tc>
          <w:tcPr>
            <w:tcW w:w="24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top"/>
          </w:tcPr>
          <w:p>
            <w:pPr>
              <w:pStyle w:val="0"/>
              <w:autoSpaceDE w:val="0"/>
              <w:autoSpaceDN w:val="0"/>
              <w:spacing w:line="260" w:lineRule="exact"/>
              <w:ind w:left="440"/>
              <w:jc w:val="center"/>
              <w:rPr>
                <w:rFonts w:hint="default" w:ascii="ＭＳ Ｐゴシック" w:hAnsi="ＭＳ Ｐゴシック" w:eastAsia="ＭＳ Ｐゴシック"/>
                <w:color w:val="000000" w:themeColor="text1"/>
                <w:sz w:val="20"/>
              </w:rPr>
            </w:pPr>
          </w:p>
        </w:tc>
        <w:tc>
          <w:tcPr>
            <w:tcW w:w="67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widowControl w:val="1"/>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kern w:val="0"/>
                <w:sz w:val="20"/>
              </w:rPr>
            </w:pPr>
            <w:r>
              <w:rPr>
                <w:rFonts w:hint="eastAsia" w:ascii="ＭＳ Ｐゴシック" w:hAnsi="ＭＳ Ｐゴシック" w:eastAsia="ＭＳ Ｐゴシック"/>
                <w:color w:val="000000" w:themeColor="text1"/>
                <w:kern w:val="24"/>
                <w:sz w:val="20"/>
              </w:rPr>
              <w:t>廿日市</w:t>
            </w:r>
          </w:p>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東部</w:t>
            </w:r>
          </w:p>
        </w:tc>
        <w:tc>
          <w:tcPr>
            <w:tcW w:w="70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widowControl w:val="1"/>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kern w:val="0"/>
                <w:sz w:val="20"/>
              </w:rPr>
            </w:pPr>
            <w:r>
              <w:rPr>
                <w:rFonts w:hint="eastAsia" w:ascii="ＭＳ Ｐゴシック" w:hAnsi="ＭＳ Ｐゴシック" w:eastAsia="ＭＳ Ｐゴシック"/>
                <w:color w:val="000000" w:themeColor="text1"/>
                <w:kern w:val="24"/>
                <w:sz w:val="20"/>
              </w:rPr>
              <w:t>廿日市</w:t>
            </w:r>
          </w:p>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中部</w:t>
            </w:r>
          </w:p>
        </w:tc>
        <w:tc>
          <w:tcPr>
            <w:tcW w:w="64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widowControl w:val="1"/>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kern w:val="0"/>
                <w:sz w:val="20"/>
              </w:rPr>
            </w:pPr>
            <w:r>
              <w:rPr>
                <w:rFonts w:hint="eastAsia" w:ascii="ＭＳ Ｐゴシック" w:hAnsi="ＭＳ Ｐゴシック" w:eastAsia="ＭＳ Ｐゴシック"/>
                <w:color w:val="000000" w:themeColor="text1"/>
                <w:kern w:val="24"/>
                <w:sz w:val="20"/>
              </w:rPr>
              <w:t>廿日市</w:t>
            </w:r>
          </w:p>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西部</w:t>
            </w:r>
          </w:p>
        </w:tc>
        <w:tc>
          <w:tcPr>
            <w:tcW w:w="6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佐伯</w:t>
            </w:r>
          </w:p>
        </w:tc>
        <w:tc>
          <w:tcPr>
            <w:tcW w:w="67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吉和</w:t>
            </w:r>
          </w:p>
        </w:tc>
        <w:tc>
          <w:tcPr>
            <w:tcW w:w="6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大野</w:t>
            </w:r>
          </w:p>
        </w:tc>
        <w:tc>
          <w:tcPr>
            <w:tcW w:w="67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宮島</w:t>
            </w:r>
          </w:p>
        </w:tc>
        <w:tc>
          <w:tcPr>
            <w:tcW w:w="6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計</w:t>
            </w:r>
          </w:p>
        </w:tc>
      </w:tr>
      <w:tr>
        <w:trPr>
          <w:cantSplit/>
          <w:trHeight w:val="397" w:hRule="atLeast"/>
        </w:trPr>
        <w:tc>
          <w:tcPr>
            <w:tcW w:w="850" w:type="dxa"/>
            <w:vMerge w:val="restart"/>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themeFill="accent1" w:themeFillTint="33" w:themeFillShade="FF"/>
            <w:textDirection w:val="tbRlV"/>
            <w:vAlign w:val="center"/>
          </w:tcPr>
          <w:p>
            <w:pPr>
              <w:pStyle w:val="0"/>
              <w:autoSpaceDE w:val="0"/>
              <w:autoSpaceDN w:val="0"/>
              <w:ind w:left="-44" w:leftChars="-20" w:right="-44" w:rightChars="-2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介護（介護予防）サービス</w:t>
            </w: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居宅介護支援</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10</w:t>
            </w:r>
          </w:p>
        </w:tc>
        <w:tc>
          <w:tcPr>
            <w:tcW w:w="70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6</w:t>
            </w:r>
          </w:p>
        </w:tc>
        <w:tc>
          <w:tcPr>
            <w:tcW w:w="64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6</w:t>
            </w:r>
          </w:p>
        </w:tc>
        <w:tc>
          <w:tcPr>
            <w:tcW w:w="67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8</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34</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訪問介護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10</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7</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5</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28</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訪問入浴介護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訪問看護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5</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17</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訪問リハビリテーション</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通所介護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6</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5</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21</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通所リハビリテーション</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11</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短期入所生活介護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7</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16</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短期入所療養介護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福祉用具貸与</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5</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double" w:color="auto"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特定施設入居者生活介護</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70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5</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計</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46</w:t>
            </w:r>
          </w:p>
        </w:tc>
        <w:tc>
          <w:tcPr>
            <w:tcW w:w="70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29</w:t>
            </w:r>
          </w:p>
        </w:tc>
        <w:tc>
          <w:tcPr>
            <w:tcW w:w="64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29</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11</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28</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145</w:t>
            </w:r>
          </w:p>
        </w:tc>
      </w:tr>
      <w:tr>
        <w:trPr>
          <w:cantSplit/>
          <w:trHeight w:val="397" w:hRule="atLeast"/>
        </w:trPr>
        <w:tc>
          <w:tcPr>
            <w:tcW w:w="850" w:type="dxa"/>
            <w:vMerge w:val="restart"/>
            <w:shd w:val="clear" w:color="auto" w:themeFill="accent1" w:themeFillTint="33" w:themeFillShade="FF"/>
            <w:textDirection w:val="tbRlV"/>
            <w:vAlign w:val="center"/>
          </w:tcPr>
          <w:p>
            <w:pPr>
              <w:pStyle w:val="0"/>
              <w:autoSpaceDE w:val="0"/>
              <w:autoSpaceDN w:val="0"/>
              <w:ind w:left="-44" w:leftChars="-20" w:right="-44" w:rightChars="-2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地域密着型サービス</w:t>
            </w:r>
          </w:p>
        </w:tc>
        <w:tc>
          <w:tcPr>
            <w:tcW w:w="241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w w:val="70"/>
                <w:sz w:val="20"/>
              </w:rPr>
            </w:pPr>
            <w:r>
              <w:rPr>
                <w:rFonts w:hint="eastAsia" w:ascii="ＭＳ Ｐゴシック" w:hAnsi="ＭＳ Ｐゴシック" w:eastAsia="ＭＳ Ｐゴシック"/>
                <w:color w:val="000000" w:themeColor="text1"/>
                <w:w w:val="70"/>
                <w:sz w:val="20"/>
              </w:rPr>
              <w:t>定期巡回・随時対応型訪問介護看護</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70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認知症対応型通所介護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5</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地域密着型通所介護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5</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20</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w w:val="90"/>
                <w:sz w:val="20"/>
              </w:rPr>
            </w:pPr>
            <w:r>
              <w:rPr>
                <w:rFonts w:hint="eastAsia" w:ascii="ＭＳ Ｐゴシック" w:hAnsi="ＭＳ Ｐゴシック" w:eastAsia="ＭＳ Ｐゴシック"/>
                <w:color w:val="000000" w:themeColor="text1"/>
                <w:w w:val="90"/>
                <w:sz w:val="20"/>
              </w:rPr>
              <w:t>認知症対応型共同生活介護</w:t>
            </w:r>
          </w:p>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w w:val="90"/>
                <w:sz w:val="20"/>
              </w:rPr>
            </w:pPr>
            <w:r>
              <w:rPr>
                <w:rFonts w:hint="eastAsia" w:ascii="ＭＳ Ｐゴシック" w:hAnsi="ＭＳ Ｐゴシック" w:eastAsia="ＭＳ Ｐゴシック"/>
                <w:color w:val="000000" w:themeColor="text1"/>
                <w:w w:val="90"/>
                <w:sz w:val="20"/>
              </w:rPr>
              <w:t>（グループホーム）</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11</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小規模多機能型居宅介護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複合型サービス</w:t>
            </w:r>
          </w:p>
          <w:p>
            <w:pPr>
              <w:pStyle w:val="0"/>
              <w:autoSpaceDE w:val="0"/>
              <w:autoSpaceDN w:val="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pacing w:val="0"/>
                <w:w w:val="78"/>
                <w:kern w:val="0"/>
                <w:sz w:val="20"/>
                <w:fitText w:val="2200" w:id="1"/>
              </w:rPr>
              <w:t>（介護小規模多機能型居宅介護</w:t>
            </w:r>
            <w:r>
              <w:rPr>
                <w:rFonts w:hint="eastAsia" w:ascii="ＭＳ Ｐゴシック" w:hAnsi="ＭＳ Ｐゴシック" w:eastAsia="ＭＳ Ｐゴシック"/>
                <w:color w:val="000000" w:themeColor="text1"/>
                <w:spacing w:val="24"/>
                <w:w w:val="78"/>
                <w:kern w:val="0"/>
                <w:sz w:val="20"/>
                <w:fitText w:val="2200" w:id="1"/>
              </w:rPr>
              <w:t>）</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w w:val="55"/>
                <w:sz w:val="20"/>
              </w:rPr>
            </w:pPr>
            <w:r>
              <w:rPr>
                <w:rFonts w:hint="eastAsia" w:ascii="ＭＳ Ｐゴシック" w:hAnsi="ＭＳ Ｐゴシック" w:eastAsia="ＭＳ Ｐゴシック"/>
                <w:color w:val="000000" w:themeColor="text1"/>
                <w:w w:val="55"/>
                <w:sz w:val="20"/>
              </w:rPr>
              <w:t>地域密着型介護老人福祉施設入所者生活介護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single" w:color="000000" w:sz="4" w:space="0"/>
              <w:bottom w:val="double" w:color="auto"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w w:val="70"/>
                <w:sz w:val="20"/>
              </w:rPr>
            </w:pPr>
            <w:r>
              <w:rPr>
                <w:rFonts w:hint="eastAsia" w:ascii="ＭＳ Ｐゴシック" w:hAnsi="ＭＳ Ｐゴシック" w:eastAsia="ＭＳ Ｐゴシック"/>
                <w:color w:val="000000" w:themeColor="text1"/>
                <w:w w:val="70"/>
                <w:sz w:val="20"/>
              </w:rPr>
              <w:t>地域密着型特定施設入居者生活介護</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70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4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double" w:color="auto" w:sz="4" w:space="0"/>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計</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12</w:t>
            </w:r>
          </w:p>
        </w:tc>
        <w:tc>
          <w:tcPr>
            <w:tcW w:w="70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11</w:t>
            </w:r>
          </w:p>
        </w:tc>
        <w:tc>
          <w:tcPr>
            <w:tcW w:w="64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7</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8</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45</w:t>
            </w:r>
          </w:p>
        </w:tc>
      </w:tr>
      <w:tr>
        <w:trPr>
          <w:cantSplit/>
          <w:trHeight w:val="397" w:hRule="atLeast"/>
        </w:trPr>
        <w:tc>
          <w:tcPr>
            <w:tcW w:w="850" w:type="dxa"/>
            <w:vMerge w:val="restart"/>
            <w:tcBorders>
              <w:top w:val="none" w:color="auto" w:sz="0" w:space="0"/>
              <w:left w:val="none" w:color="auto" w:sz="0" w:space="0"/>
              <w:bottom w:val="double" w:color="auto" w:sz="4" w:space="0"/>
              <w:right w:val="none" w:color="auto" w:sz="0" w:space="0"/>
              <w:tl2br w:val="none" w:color="auto" w:sz="0" w:space="0"/>
              <w:tr2bl w:val="none" w:color="auto" w:sz="0" w:space="0"/>
            </w:tcBorders>
            <w:shd w:val="clear" w:color="auto" w:themeFill="accent1" w:themeFillTint="33" w:themeFillShade="FF"/>
            <w:textDirection w:val="tbRlV"/>
            <w:vAlign w:val="center"/>
          </w:tcPr>
          <w:p>
            <w:pPr>
              <w:pStyle w:val="0"/>
              <w:autoSpaceDE w:val="0"/>
              <w:autoSpaceDN w:val="0"/>
              <w:ind w:left="-44" w:leftChars="-20" w:right="-44" w:rightChars="-2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施設サービス</w:t>
            </w: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介護老人福祉施設</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70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7</w:t>
            </w:r>
          </w:p>
        </w:tc>
      </w:tr>
      <w:tr>
        <w:trPr>
          <w:cantSplit/>
          <w:trHeight w:val="397" w:hRule="atLeast"/>
        </w:trPr>
        <w:tc>
          <w:tcPr>
            <w:tcW w:w="850" w:type="dxa"/>
            <w:vMerge w:val="continue"/>
            <w:shd w:val="clear" w:color="auto" w:themeFill="accent1" w:themeFillTint="33" w:themeFillShade="FF"/>
            <w:vAlign w:val="top"/>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介護老人保健施設</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r>
      <w:tr>
        <w:trPr>
          <w:cantSplit/>
          <w:trHeight w:val="397" w:hRule="atLeast"/>
        </w:trPr>
        <w:tc>
          <w:tcPr>
            <w:tcW w:w="850" w:type="dxa"/>
            <w:vMerge w:val="continue"/>
            <w:shd w:val="clear" w:color="auto" w:themeFill="accent1" w:themeFillTint="33" w:themeFillShade="FF"/>
            <w:vAlign w:val="top"/>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Pr>
                <w:rFonts w:hint="default" w:ascii="ＭＳ Ｐゴシック" w:hAnsi="ＭＳ Ｐゴシック" w:eastAsia="ＭＳ Ｐゴシック"/>
                <w:sz w:val="20"/>
              </w:rPr>
            </w:pPr>
            <w:r>
              <w:rPr>
                <w:rFonts w:hint="eastAsia" w:ascii="ＭＳ Ｐゴシック" w:hAnsi="ＭＳ Ｐゴシック" w:eastAsia="ＭＳ Ｐゴシック"/>
                <w:sz w:val="20"/>
              </w:rPr>
              <w:t>介護医療院</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w:t>
            </w:r>
          </w:p>
        </w:tc>
      </w:tr>
      <w:tr>
        <w:trPr>
          <w:cantSplit/>
          <w:trHeight w:val="397" w:hRule="atLeast"/>
        </w:trPr>
        <w:tc>
          <w:tcPr>
            <w:tcW w:w="850" w:type="dxa"/>
            <w:vMerge w:val="continue"/>
            <w:shd w:val="clear" w:color="auto" w:themeFill="accent1" w:themeFillTint="33" w:themeFillShade="FF"/>
            <w:vAlign w:val="top"/>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double" w:color="auto"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Pr>
                <w:rFonts w:hint="default" w:ascii="ＭＳ Ｐゴシック" w:hAnsi="ＭＳ Ｐゴシック" w:eastAsia="ＭＳ Ｐゴシック"/>
                <w:sz w:val="20"/>
              </w:rPr>
            </w:pPr>
            <w:r>
              <w:rPr>
                <w:rFonts w:hint="eastAsia" w:ascii="ＭＳ Ｐゴシック" w:hAnsi="ＭＳ Ｐゴシック" w:eastAsia="ＭＳ Ｐゴシック"/>
                <w:sz w:val="20"/>
              </w:rPr>
              <w:t>介護療養型医療施設</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70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4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r>
      <w:tr>
        <w:trPr>
          <w:cantSplit/>
          <w:trHeight w:val="397" w:hRule="atLeast"/>
        </w:trPr>
        <w:tc>
          <w:tcPr>
            <w:tcW w:w="850" w:type="dxa"/>
            <w:vMerge w:val="continue"/>
            <w:tcBorders>
              <w:top w:val="none" w:color="auto" w:sz="0" w:space="0"/>
              <w:left w:val="none" w:color="auto" w:sz="0" w:space="0"/>
              <w:bottom w:val="double" w:color="auto" w:sz="4" w:space="0"/>
              <w:right w:val="none" w:color="auto" w:sz="0" w:space="0"/>
              <w:tl2br w:val="none" w:color="auto" w:sz="0" w:space="0"/>
              <w:tr2bl w:val="none" w:color="auto" w:sz="0" w:space="0"/>
            </w:tcBorders>
            <w:shd w:val="clear" w:color="auto" w:themeFill="accent1" w:themeFillTint="33" w:themeFillShade="FF"/>
            <w:vAlign w:val="top"/>
          </w:tcPr>
          <w:p>
            <w:pPr>
              <w:pStyle w:val="0"/>
              <w:autoSpaceDE w:val="0"/>
              <w:autoSpaceDN w:val="0"/>
              <w:rPr>
                <w:rFonts w:hint="default" w:ascii="ＭＳ Ｐゴシック" w:hAnsi="ＭＳ Ｐゴシック" w:eastAsia="ＭＳ Ｐゴシック"/>
                <w:sz w:val="20"/>
              </w:rPr>
            </w:pPr>
          </w:p>
        </w:tc>
        <w:tc>
          <w:tcPr>
            <w:tcW w:w="2410"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jc w:val="center"/>
              <w:rPr>
                <w:rFonts w:hint="default" w:ascii="ＭＳ Ｐゴシック" w:hAnsi="ＭＳ Ｐゴシック" w:eastAsia="ＭＳ Ｐゴシック"/>
                <w:sz w:val="20"/>
              </w:rPr>
            </w:pPr>
            <w:r>
              <w:rPr>
                <w:rFonts w:hint="eastAsia" w:ascii="ＭＳ Ｐゴシック" w:hAnsi="ＭＳ Ｐゴシック" w:eastAsia="ＭＳ Ｐゴシック"/>
                <w:sz w:val="20"/>
              </w:rPr>
              <w:t>計</w:t>
            </w:r>
          </w:p>
        </w:tc>
        <w:tc>
          <w:tcPr>
            <w:tcW w:w="672"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4</w:t>
            </w:r>
          </w:p>
        </w:tc>
        <w:tc>
          <w:tcPr>
            <w:tcW w:w="702"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w:t>
            </w:r>
          </w:p>
        </w:tc>
        <w:tc>
          <w:tcPr>
            <w:tcW w:w="643"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w:t>
            </w:r>
          </w:p>
        </w:tc>
        <w:tc>
          <w:tcPr>
            <w:tcW w:w="673"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w:t>
            </w:r>
          </w:p>
        </w:tc>
        <w:tc>
          <w:tcPr>
            <w:tcW w:w="672"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w:t>
            </w:r>
          </w:p>
        </w:tc>
        <w:tc>
          <w:tcPr>
            <w:tcW w:w="672"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13</w:t>
            </w:r>
          </w:p>
        </w:tc>
      </w:tr>
      <w:tr>
        <w:trPr>
          <w:cantSplit/>
          <w:trHeight w:val="397" w:hRule="atLeast"/>
        </w:trPr>
        <w:tc>
          <w:tcPr>
            <w:tcW w:w="3260" w:type="dxa"/>
            <w:gridSpan w:val="2"/>
            <w:tcBorders>
              <w:top w:val="double" w:color="auto" w:sz="4" w:space="0"/>
              <w:left w:val="none" w:color="auto" w:sz="0" w:space="0"/>
              <w:bottom w:val="none" w:color="auto" w:sz="0"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jc w:val="center"/>
              <w:rPr>
                <w:rFonts w:hint="default" w:ascii="ＭＳ Ｐゴシック" w:hAnsi="ＭＳ Ｐゴシック" w:eastAsia="ＭＳ Ｐゴシック"/>
                <w:sz w:val="20"/>
              </w:rPr>
            </w:pPr>
            <w:r>
              <w:rPr>
                <w:rFonts w:hint="eastAsia" w:ascii="ＭＳ Ｐゴシック" w:hAnsi="ＭＳ Ｐゴシック" w:eastAsia="ＭＳ Ｐゴシック"/>
                <w:sz w:val="20"/>
              </w:rPr>
              <w:t>合計</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62</w:t>
            </w:r>
          </w:p>
        </w:tc>
        <w:tc>
          <w:tcPr>
            <w:tcW w:w="70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42</w:t>
            </w:r>
          </w:p>
        </w:tc>
        <w:tc>
          <w:tcPr>
            <w:tcW w:w="64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38</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17</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39</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4</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203</w:t>
            </w:r>
          </w:p>
        </w:tc>
      </w:tr>
    </w:tbl>
    <w:p>
      <w:pPr>
        <w:pStyle w:val="28"/>
        <w:autoSpaceDE w:val="0"/>
        <w:autoSpaceDN w:val="0"/>
        <w:rPr>
          <w:rFonts w:hint="default" w:ascii="ＭＳ ゴシック" w:hAnsi="ＭＳ ゴシック" w:eastAsia="ＭＳ ゴシック"/>
          <w:b w:val="1"/>
          <w:color w:val="auto"/>
          <w:sz w:val="24"/>
        </w:rPr>
      </w:pPr>
    </w:p>
    <w:p>
      <w:pPr>
        <w:pStyle w:val="0"/>
        <w:rPr>
          <w:rFonts w:hint="default" w:ascii="ＭＳ ゴシック" w:hAnsi="ＭＳ ゴシック" w:eastAsia="ＭＳ ゴシック"/>
          <w:b w:val="1"/>
          <w:color w:val="auto"/>
          <w:sz w:val="24"/>
        </w:rPr>
      </w:pPr>
    </w:p>
    <w:p>
      <w:pPr>
        <w:pStyle w:val="37"/>
        <w:numPr>
          <w:numId w:val="0"/>
        </w:numPr>
        <w:ind w:leftChars="0" w:right="0" w:rightChars="0" w:firstLineChars="0"/>
        <w:rPr>
          <w:rFonts w:hint="default"/>
          <w:color w:val="000000" w:themeColor="text1"/>
        </w:rPr>
      </w:pPr>
      <w:bookmarkStart w:id="10" w:name="_Toc154310409"/>
      <w:bookmarkEnd w:id="10"/>
      <w:bookmarkStart w:id="11" w:name="_Toc155872839"/>
      <w:bookmarkEnd w:id="11"/>
      <w:bookmarkStart w:id="12" w:name="_Toc155873101"/>
      <w:bookmarkEnd w:id="12"/>
      <w:bookmarkStart w:id="13" w:name="_Toc155873546"/>
      <w:bookmarkEnd w:id="13"/>
      <w:bookmarkStart w:id="14" w:name="_Toc159755554"/>
      <w:bookmarkEnd w:id="14"/>
      <w:bookmarkStart w:id="15" w:name="_Toc159757701"/>
      <w:bookmarkEnd w:id="15"/>
      <w:r>
        <w:rPr>
          <w:rFonts w:hint="eastAsia"/>
          <w:b w:val="1"/>
          <w:color w:val="000000" w:themeColor="text1"/>
        </w:rPr>
        <w:t>（４）</w:t>
      </w:r>
      <w:r>
        <w:rPr>
          <w:rFonts w:hint="eastAsia"/>
          <w:b w:val="1"/>
          <w:color w:val="000000" w:themeColor="text1"/>
        </w:rPr>
        <w:t xml:space="preserve"> </w:t>
      </w:r>
      <w:r>
        <w:rPr>
          <w:rFonts w:hint="eastAsia"/>
          <w:b w:val="1"/>
          <w:color w:val="000000" w:themeColor="text1"/>
        </w:rPr>
        <w:t>認知症高齢者数の推計</w:t>
      </w:r>
    </w:p>
    <w:p>
      <w:pPr>
        <w:pStyle w:val="19"/>
        <w:spacing w:before="190" w:beforeLines="0" w:beforeAutospacing="0"/>
        <w:rPr>
          <w:rFonts w:hint="default"/>
          <w:color w:val="auto"/>
        </w:rPr>
      </w:pPr>
      <w:r>
        <w:rPr>
          <w:rFonts w:hint="eastAsia"/>
          <w:color w:val="auto"/>
        </w:rPr>
        <w:t xml:space="preserve"> </w:t>
      </w:r>
      <w:r>
        <w:rPr>
          <w:rFonts w:hint="eastAsia"/>
          <w:color w:val="auto"/>
        </w:rPr>
        <w:t>図表　認知症高齢者数等の推移・推計</w:t>
      </w:r>
    </w:p>
    <w:p>
      <w:pPr>
        <w:pStyle w:val="0"/>
        <w:autoSpaceDE w:val="0"/>
        <w:autoSpaceDN w:val="0"/>
        <w:ind w:left="425" w:leftChars="193"/>
        <w:jc w:val="center"/>
        <w:rPr>
          <w:rFonts w:hint="default" w:ascii="BIZ UDPゴシック" w:hAnsi="BIZ UDPゴシック" w:eastAsia="BIZ UDPゴシック"/>
          <w:sz w:val="21"/>
        </w:rPr>
      </w:pPr>
      <w:r>
        <w:rPr>
          <w:rFonts w:hint="eastAsia" w:ascii="BIZ UDPゴシック" w:hAnsi="BIZ UDPゴシック" w:eastAsia="BIZ UDPゴシック"/>
          <w:sz w:val="21"/>
        </w:rPr>
        <w:t>（要支援・要介護認定者のうち認知症高齢者の日常生活自立度Ⅱ</w:t>
      </w:r>
      <w:r>
        <w:rPr>
          <w:rFonts w:hint="eastAsia" w:ascii="BIZ UDPゴシック" w:hAnsi="BIZ UDPゴシック" w:eastAsia="BIZ UDPゴシック"/>
          <w:sz w:val="21"/>
        </w:rPr>
        <w:t>a</w:t>
      </w:r>
      <w:r>
        <w:rPr>
          <w:rFonts w:hint="eastAsia" w:ascii="BIZ UDPゴシック" w:hAnsi="BIZ UDPゴシック" w:eastAsia="BIZ UDPゴシック"/>
          <w:sz w:val="21"/>
        </w:rPr>
        <w:t>以上の人）</w:t>
      </w:r>
    </w:p>
    <w:p>
      <w:pPr>
        <w:pStyle w:val="0"/>
        <w:widowControl w:val="1"/>
        <w:autoSpaceDE w:val="0"/>
        <w:autoSpaceDN w:val="0"/>
        <w:spacing w:after="33" w:afterLines="10" w:afterAutospacing="0" w:line="240" w:lineRule="exact"/>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sz w:val="18"/>
        </w:rPr>
        <w:t>（単位：人）</w:t>
      </w:r>
    </w:p>
    <w:tbl>
      <w:tblPr>
        <w:tblStyle w:val="43"/>
        <w:tblW w:w="8533" w:type="dxa"/>
        <w:tblInd w:w="534" w:type="dxa"/>
        <w:tblLayout w:type="fixed"/>
        <w:tblLook w:firstRow="1" w:lastRow="0" w:firstColumn="1" w:lastColumn="0" w:noHBand="0" w:noVBand="1" w:val="04A0"/>
      </w:tblPr>
      <w:tblGrid>
        <w:gridCol w:w="1870"/>
        <w:gridCol w:w="951"/>
        <w:gridCol w:w="952"/>
        <w:gridCol w:w="952"/>
        <w:gridCol w:w="952"/>
        <w:gridCol w:w="952"/>
        <w:gridCol w:w="952"/>
        <w:gridCol w:w="952"/>
      </w:tblGrid>
      <w:tr>
        <w:trPr/>
        <w:tc>
          <w:tcPr>
            <w:tcW w:w="1870" w:type="dxa"/>
            <w:vMerge w:val="restart"/>
            <w:shd w:val="clear" w:color="auto" w:fill="CCECFF"/>
            <w:vAlign w:val="center"/>
          </w:tcPr>
          <w:p>
            <w:pPr>
              <w:pStyle w:val="0"/>
              <w:autoSpaceDE w:val="0"/>
              <w:autoSpaceDN w:val="0"/>
              <w:spacing w:line="240" w:lineRule="exact"/>
              <w:jc w:val="center"/>
              <w:rPr>
                <w:rFonts w:hint="default" w:ascii="ＭＳ Ｐゴシック" w:hAnsi="ＭＳ Ｐゴシック" w:eastAsia="ＭＳ Ｐゴシック"/>
                <w:kern w:val="24"/>
                <w:sz w:val="18"/>
              </w:rPr>
            </w:pPr>
          </w:p>
        </w:tc>
        <w:tc>
          <w:tcPr>
            <w:tcW w:w="2855" w:type="dxa"/>
            <w:gridSpan w:val="3"/>
            <w:shd w:val="clear" w:color="auto" w:fill="CCECFF"/>
            <w:vAlign w:val="center"/>
          </w:tcPr>
          <w:p>
            <w:pPr>
              <w:pStyle w:val="0"/>
              <w:widowControl w:val="1"/>
              <w:autoSpaceDE w:val="0"/>
              <w:autoSpaceDN w:val="0"/>
              <w:spacing w:line="240" w:lineRule="exact"/>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第</w:t>
            </w:r>
            <w:r>
              <w:rPr>
                <w:rFonts w:hint="eastAsia" w:ascii="ＭＳ Ｐゴシック" w:hAnsi="ＭＳ Ｐゴシック" w:eastAsia="ＭＳ Ｐゴシック"/>
                <w:kern w:val="24"/>
                <w:sz w:val="18"/>
              </w:rPr>
              <w:t>8</w:t>
            </w:r>
            <w:r>
              <w:rPr>
                <w:rFonts w:hint="eastAsia" w:ascii="ＭＳ Ｐゴシック" w:hAnsi="ＭＳ Ｐゴシック" w:eastAsia="ＭＳ Ｐゴシック"/>
                <w:kern w:val="24"/>
                <w:sz w:val="18"/>
              </w:rPr>
              <w:t>期</w:t>
            </w:r>
          </w:p>
        </w:tc>
        <w:tc>
          <w:tcPr>
            <w:tcW w:w="2856" w:type="dxa"/>
            <w:gridSpan w:val="3"/>
            <w:tcBorders>
              <w:top w:val="none" w:color="auto" w:sz="0" w:space="0"/>
              <w:left w:val="none" w:color="auto" w:sz="0" w:space="0"/>
              <w:bottom w:val="none" w:color="auto" w:sz="0" w:space="0"/>
              <w:right w:val="double" w:color="auto" w:sz="4" w:space="0"/>
              <w:tl2br w:val="none" w:color="auto" w:sz="0" w:space="0"/>
              <w:tr2bl w:val="none" w:color="auto" w:sz="0" w:space="0"/>
            </w:tcBorders>
            <w:shd w:val="clear" w:color="auto" w:fill="CCECFF"/>
            <w:vAlign w:val="center"/>
          </w:tcPr>
          <w:p>
            <w:pPr>
              <w:pStyle w:val="0"/>
              <w:widowControl w:val="1"/>
              <w:autoSpaceDE w:val="0"/>
              <w:autoSpaceDN w:val="0"/>
              <w:spacing w:line="240" w:lineRule="exact"/>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第</w:t>
            </w:r>
            <w:r>
              <w:rPr>
                <w:rFonts w:hint="eastAsia" w:ascii="ＭＳ Ｐゴシック" w:hAnsi="ＭＳ Ｐゴシック" w:eastAsia="ＭＳ Ｐゴシック"/>
                <w:kern w:val="24"/>
                <w:sz w:val="18"/>
              </w:rPr>
              <w:t>9</w:t>
            </w:r>
            <w:r>
              <w:rPr>
                <w:rFonts w:hint="eastAsia" w:ascii="ＭＳ Ｐゴシック" w:hAnsi="ＭＳ Ｐゴシック" w:eastAsia="ＭＳ Ｐゴシック"/>
                <w:kern w:val="24"/>
                <w:sz w:val="18"/>
              </w:rPr>
              <w:t>期</w:t>
            </w:r>
          </w:p>
        </w:tc>
        <w:tc>
          <w:tcPr>
            <w:tcW w:w="952"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22</w:t>
            </w:r>
            <w:r>
              <w:rPr>
                <w:rFonts w:hint="eastAsia" w:ascii="ＭＳ Ｐゴシック" w:hAnsi="ＭＳ Ｐゴシック" w:eastAsia="ＭＳ Ｐゴシック"/>
                <w:kern w:val="24"/>
                <w:sz w:val="18"/>
              </w:rPr>
              <w:t>年度</w:t>
            </w:r>
          </w:p>
          <w:p>
            <w:pPr>
              <w:pStyle w:val="0"/>
              <w:autoSpaceDE w:val="0"/>
              <w:autoSpaceDN w:val="0"/>
              <w:spacing w:line="20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2040</w:t>
            </w:r>
            <w:r>
              <w:rPr>
                <w:rFonts w:hint="eastAsia" w:ascii="ＭＳ Ｐゴシック" w:hAnsi="ＭＳ Ｐゴシック" w:eastAsia="ＭＳ Ｐゴシック"/>
                <w:kern w:val="24"/>
                <w:sz w:val="18"/>
              </w:rPr>
              <w:t>年度）</w:t>
            </w:r>
          </w:p>
        </w:tc>
      </w:tr>
      <w:tr>
        <w:trPr>
          <w:trHeight w:val="510" w:hRule="atLeast"/>
        </w:trPr>
        <w:tc>
          <w:tcPr>
            <w:tcW w:w="1870" w:type="dxa"/>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widowControl w:val="1"/>
              <w:autoSpaceDE w:val="0"/>
              <w:autoSpaceDN w:val="0"/>
              <w:spacing w:line="240" w:lineRule="exact"/>
              <w:jc w:val="center"/>
              <w:rPr>
                <w:rFonts w:hint="default" w:ascii="ＭＳ Ｐゴシック" w:hAnsi="ＭＳ Ｐゴシック" w:eastAsia="ＭＳ Ｐゴシック"/>
                <w:kern w:val="24"/>
                <w:sz w:val="18"/>
              </w:rPr>
            </w:pPr>
          </w:p>
        </w:tc>
        <w:tc>
          <w:tcPr>
            <w:tcW w:w="951" w:type="dxa"/>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3</w:t>
            </w:r>
            <w:r>
              <w:rPr>
                <w:rFonts w:hint="eastAsia" w:ascii="ＭＳ Ｐゴシック" w:hAnsi="ＭＳ Ｐゴシック" w:eastAsia="ＭＳ Ｐゴシック"/>
                <w:kern w:val="24"/>
                <w:sz w:val="18"/>
              </w:rPr>
              <w:t>年度</w:t>
            </w:r>
          </w:p>
          <w:p>
            <w:pPr>
              <w:pStyle w:val="0"/>
              <w:widowControl w:val="1"/>
              <w:autoSpaceDE w:val="0"/>
              <w:autoSpaceDN w:val="0"/>
              <w:spacing w:line="20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2021</w:t>
            </w:r>
            <w:r>
              <w:rPr>
                <w:rFonts w:hint="eastAsia" w:ascii="ＭＳ Ｐゴシック" w:hAnsi="ＭＳ Ｐゴシック" w:eastAsia="ＭＳ Ｐゴシック"/>
                <w:kern w:val="24"/>
                <w:sz w:val="18"/>
              </w:rPr>
              <w:t>年度）</w:t>
            </w:r>
          </w:p>
        </w:tc>
        <w:tc>
          <w:tcPr>
            <w:tcW w:w="952" w:type="dxa"/>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4</w:t>
            </w:r>
            <w:r>
              <w:rPr>
                <w:rFonts w:hint="eastAsia" w:ascii="ＭＳ Ｐゴシック" w:hAnsi="ＭＳ Ｐゴシック" w:eastAsia="ＭＳ Ｐゴシック"/>
                <w:kern w:val="24"/>
                <w:sz w:val="18"/>
              </w:rPr>
              <w:t>年度</w:t>
            </w:r>
          </w:p>
          <w:p>
            <w:pPr>
              <w:pStyle w:val="0"/>
              <w:widowControl w:val="1"/>
              <w:autoSpaceDE w:val="0"/>
              <w:autoSpaceDN w:val="0"/>
              <w:spacing w:line="20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2022</w:t>
            </w:r>
            <w:r>
              <w:rPr>
                <w:rFonts w:hint="eastAsia" w:ascii="ＭＳ Ｐゴシック" w:hAnsi="ＭＳ Ｐゴシック" w:eastAsia="ＭＳ Ｐゴシック"/>
                <w:kern w:val="24"/>
                <w:sz w:val="18"/>
              </w:rPr>
              <w:t>年度）</w:t>
            </w:r>
          </w:p>
        </w:tc>
        <w:tc>
          <w:tcPr>
            <w:tcW w:w="952" w:type="dxa"/>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5</w:t>
            </w:r>
            <w:r>
              <w:rPr>
                <w:rFonts w:hint="eastAsia" w:ascii="ＭＳ Ｐゴシック" w:hAnsi="ＭＳ Ｐゴシック" w:eastAsia="ＭＳ Ｐゴシック"/>
                <w:kern w:val="24"/>
                <w:sz w:val="18"/>
              </w:rPr>
              <w:t>年度</w:t>
            </w:r>
          </w:p>
          <w:p>
            <w:pPr>
              <w:pStyle w:val="0"/>
              <w:widowControl w:val="1"/>
              <w:autoSpaceDE w:val="0"/>
              <w:autoSpaceDN w:val="0"/>
              <w:spacing w:line="20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2023</w:t>
            </w:r>
            <w:r>
              <w:rPr>
                <w:rFonts w:hint="eastAsia" w:ascii="ＭＳ Ｐゴシック" w:hAnsi="ＭＳ Ｐゴシック" w:eastAsia="ＭＳ Ｐゴシック"/>
                <w:kern w:val="24"/>
                <w:sz w:val="18"/>
              </w:rPr>
              <w:t>年度）</w:t>
            </w:r>
          </w:p>
        </w:tc>
        <w:tc>
          <w:tcPr>
            <w:tcW w:w="952"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6</w:t>
            </w:r>
            <w:r>
              <w:rPr>
                <w:rFonts w:hint="eastAsia" w:ascii="ＭＳ Ｐゴシック" w:hAnsi="ＭＳ Ｐゴシック" w:eastAsia="ＭＳ Ｐゴシック"/>
                <w:kern w:val="24"/>
                <w:sz w:val="18"/>
              </w:rPr>
              <w:t>年度</w:t>
            </w:r>
          </w:p>
          <w:p>
            <w:pPr>
              <w:pStyle w:val="0"/>
              <w:widowControl w:val="1"/>
              <w:autoSpaceDE w:val="0"/>
              <w:autoSpaceDN w:val="0"/>
              <w:spacing w:line="20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2024</w:t>
            </w:r>
            <w:r>
              <w:rPr>
                <w:rFonts w:hint="eastAsia" w:ascii="ＭＳ Ｐゴシック" w:hAnsi="ＭＳ Ｐゴシック" w:eastAsia="ＭＳ Ｐゴシック"/>
                <w:kern w:val="24"/>
                <w:sz w:val="18"/>
              </w:rPr>
              <w:t>年度）</w:t>
            </w:r>
          </w:p>
        </w:tc>
        <w:tc>
          <w:tcPr>
            <w:tcW w:w="952"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7</w:t>
            </w:r>
            <w:r>
              <w:rPr>
                <w:rFonts w:hint="eastAsia" w:ascii="ＭＳ Ｐゴシック" w:hAnsi="ＭＳ Ｐゴシック" w:eastAsia="ＭＳ Ｐゴシック"/>
                <w:kern w:val="24"/>
                <w:sz w:val="18"/>
              </w:rPr>
              <w:t>年度</w:t>
            </w:r>
          </w:p>
          <w:p>
            <w:pPr>
              <w:pStyle w:val="0"/>
              <w:widowControl w:val="1"/>
              <w:autoSpaceDE w:val="0"/>
              <w:autoSpaceDN w:val="0"/>
              <w:spacing w:line="20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2025</w:t>
            </w:r>
            <w:r>
              <w:rPr>
                <w:rFonts w:hint="eastAsia" w:ascii="ＭＳ Ｐゴシック" w:hAnsi="ＭＳ Ｐゴシック" w:eastAsia="ＭＳ Ｐゴシック"/>
                <w:kern w:val="24"/>
                <w:sz w:val="18"/>
              </w:rPr>
              <w:t>年度）</w:t>
            </w:r>
          </w:p>
        </w:tc>
        <w:tc>
          <w:tcPr>
            <w:tcW w:w="952" w:type="dxa"/>
            <w:tcBorders>
              <w:top w:val="none" w:color="auto" w:sz="0" w:space="0"/>
              <w:left w:val="none" w:color="auto" w:sz="0" w:space="0"/>
              <w:bottom w:val="single" w:color="auto" w:sz="4" w:space="0"/>
              <w:right w:val="double" w:color="auto" w:sz="4"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8</w:t>
            </w:r>
            <w:r>
              <w:rPr>
                <w:rFonts w:hint="eastAsia" w:ascii="ＭＳ Ｐゴシック" w:hAnsi="ＭＳ Ｐゴシック" w:eastAsia="ＭＳ Ｐゴシック"/>
                <w:kern w:val="24"/>
                <w:sz w:val="18"/>
              </w:rPr>
              <w:t>年度</w:t>
            </w:r>
          </w:p>
          <w:p>
            <w:pPr>
              <w:pStyle w:val="0"/>
              <w:widowControl w:val="1"/>
              <w:autoSpaceDE w:val="0"/>
              <w:autoSpaceDN w:val="0"/>
              <w:spacing w:line="20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2026</w:t>
            </w:r>
            <w:r>
              <w:rPr>
                <w:rFonts w:hint="eastAsia" w:ascii="ＭＳ Ｐゴシック" w:hAnsi="ＭＳ Ｐゴシック" w:eastAsia="ＭＳ Ｐゴシック"/>
                <w:kern w:val="24"/>
                <w:sz w:val="18"/>
              </w:rPr>
              <w:t>年度）</w:t>
            </w:r>
          </w:p>
        </w:tc>
        <w:tc>
          <w:tcPr>
            <w:tcW w:w="952" w:type="dxa"/>
            <w:vMerge w:val="continue"/>
            <w:tcBorders>
              <w:top w:val="none" w:color="auto" w:sz="0" w:space="0"/>
              <w:left w:val="single" w:color="auto" w:sz="4" w:space="0"/>
              <w:bottom w:val="single" w:color="auto" w:sz="4" w:space="0"/>
              <w:right w:val="none" w:color="auto" w:sz="0" w:space="0"/>
              <w:tl2br w:val="none" w:color="auto" w:sz="0" w:space="0"/>
              <w:tr2bl w:val="none" w:color="auto" w:sz="0" w:space="0"/>
            </w:tcBorders>
            <w:shd w:val="clear" w:color="auto" w:fill="CCECFF"/>
            <w:vAlign w:val="top"/>
          </w:tcPr>
          <w:p>
            <w:pPr>
              <w:pStyle w:val="0"/>
              <w:widowControl w:val="1"/>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p>
        </w:tc>
      </w:tr>
      <w:tr>
        <w:trPr>
          <w:trHeight w:val="340" w:hRule="atLeast"/>
        </w:trPr>
        <w:tc>
          <w:tcPr>
            <w:tcW w:w="1870" w:type="dxa"/>
            <w:tcBorders>
              <w:top w:val="single" w:color="auto" w:sz="4" w:space="0"/>
              <w:left w:val="none" w:color="auto" w:sz="0" w:space="0"/>
              <w:bottom w:val="dashSmallGap"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sz w:val="18"/>
              </w:rPr>
              <w:t>認知症高齢者数</w:t>
            </w:r>
          </w:p>
        </w:tc>
        <w:tc>
          <w:tcPr>
            <w:tcW w:w="951" w:type="dxa"/>
            <w:tcBorders>
              <w:top w:val="single" w:color="auto" w:sz="4" w:space="0"/>
              <w:left w:val="single" w:color="auto" w:sz="4" w:space="0"/>
              <w:bottom w:val="dashSmallGap"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3,819 </w:t>
            </w:r>
          </w:p>
        </w:tc>
        <w:tc>
          <w:tcPr>
            <w:tcW w:w="952" w:type="dxa"/>
            <w:tcBorders>
              <w:top w:val="single" w:color="auto" w:sz="4" w:space="0"/>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3,917 </w:t>
            </w:r>
          </w:p>
        </w:tc>
        <w:tc>
          <w:tcPr>
            <w:tcW w:w="952" w:type="dxa"/>
            <w:tcBorders>
              <w:top w:val="single" w:color="auto" w:sz="4" w:space="0"/>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3,928 </w:t>
            </w:r>
          </w:p>
        </w:tc>
        <w:tc>
          <w:tcPr>
            <w:tcW w:w="952" w:type="dxa"/>
            <w:tcBorders>
              <w:top w:val="single" w:color="auto" w:sz="4" w:space="0"/>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4,018 </w:t>
            </w:r>
          </w:p>
        </w:tc>
        <w:tc>
          <w:tcPr>
            <w:tcW w:w="952" w:type="dxa"/>
            <w:tcBorders>
              <w:top w:val="single" w:color="auto" w:sz="4" w:space="0"/>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4,116 </w:t>
            </w:r>
          </w:p>
        </w:tc>
        <w:tc>
          <w:tcPr>
            <w:tcW w:w="952" w:type="dxa"/>
            <w:tcBorders>
              <w:top w:val="single" w:color="auto" w:sz="4" w:space="0"/>
              <w:left w:val="nil"/>
              <w:bottom w:val="dashSmallGap" w:color="auto" w:sz="4" w:space="0"/>
              <w:right w:val="doub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4,208 </w:t>
            </w:r>
          </w:p>
        </w:tc>
        <w:tc>
          <w:tcPr>
            <w:tcW w:w="952" w:type="dxa"/>
            <w:tcBorders>
              <w:top w:val="single" w:color="auto" w:sz="4" w:space="0"/>
              <w:left w:val="double" w:color="auto" w:sz="4" w:space="0"/>
              <w:bottom w:val="dashSmallGap"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5,366 </w:t>
            </w:r>
          </w:p>
        </w:tc>
      </w:tr>
      <w:tr>
        <w:trPr>
          <w:trHeight w:val="340" w:hRule="atLeast"/>
        </w:trPr>
        <w:tc>
          <w:tcPr>
            <w:tcW w:w="1870" w:type="dxa"/>
            <w:tcBorders>
              <w:top w:val="dashSmallGap"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sz w:val="18"/>
              </w:rPr>
              <w:t>認定者数に占める割合</w:t>
            </w:r>
          </w:p>
        </w:tc>
        <w:tc>
          <w:tcPr>
            <w:tcW w:w="951" w:type="dxa"/>
            <w:tcBorders>
              <w:top w:val="dashSmallGap"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58.4</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59.0</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58.9</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58.8</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58.9</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dashSmallGap"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58.9</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dashSmallGap"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59.9</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r>
      <w:tr>
        <w:trPr>
          <w:trHeight w:val="340" w:hRule="atLeast"/>
        </w:trPr>
        <w:tc>
          <w:tcPr>
            <w:tcW w:w="1870" w:type="dxa"/>
            <w:tcBorders>
              <w:top w:val="none" w:color="auto" w:sz="0" w:space="0"/>
              <w:left w:val="none" w:color="auto" w:sz="0" w:space="0"/>
              <w:bottom w:val="dashSmallGap" w:color="auto" w:sz="4" w:space="0"/>
              <w:right w:val="none" w:color="auto" w:sz="0" w:space="0"/>
              <w:tl2br w:val="none" w:color="auto" w:sz="0" w:space="0"/>
              <w:tr2bl w:val="none" w:color="auto" w:sz="0" w:space="0"/>
            </w:tcBorders>
            <w:vAlign w:val="center"/>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高齢者数</w:t>
            </w:r>
          </w:p>
        </w:tc>
        <w:tc>
          <w:tcPr>
            <w:tcW w:w="951" w:type="dxa"/>
            <w:tcBorders>
              <w:top w:val="nil"/>
              <w:left w:val="single" w:color="auto" w:sz="4" w:space="0"/>
              <w:bottom w:val="dashSmallGap"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35,863 </w:t>
            </w:r>
          </w:p>
        </w:tc>
        <w:tc>
          <w:tcPr>
            <w:tcW w:w="952"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36,208 </w:t>
            </w:r>
          </w:p>
        </w:tc>
        <w:tc>
          <w:tcPr>
            <w:tcW w:w="952"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36,453 </w:t>
            </w:r>
          </w:p>
        </w:tc>
        <w:tc>
          <w:tcPr>
            <w:tcW w:w="952"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36,761 </w:t>
            </w:r>
          </w:p>
        </w:tc>
        <w:tc>
          <w:tcPr>
            <w:tcW w:w="952"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36,908 </w:t>
            </w:r>
          </w:p>
        </w:tc>
        <w:tc>
          <w:tcPr>
            <w:tcW w:w="952" w:type="dxa"/>
            <w:tcBorders>
              <w:top w:val="nil"/>
              <w:left w:val="nil"/>
              <w:bottom w:val="dashSmallGap" w:color="auto" w:sz="4" w:space="0"/>
              <w:right w:val="doub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37,036 </w:t>
            </w:r>
          </w:p>
        </w:tc>
        <w:tc>
          <w:tcPr>
            <w:tcW w:w="952" w:type="dxa"/>
            <w:tcBorders>
              <w:top w:val="single" w:color="auto" w:sz="4" w:space="0"/>
              <w:left w:val="double" w:color="auto" w:sz="4" w:space="0"/>
              <w:bottom w:val="dashSmallGap"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36,993 </w:t>
            </w:r>
          </w:p>
        </w:tc>
      </w:tr>
      <w:tr>
        <w:trPr>
          <w:trHeight w:val="340" w:hRule="atLeast"/>
        </w:trPr>
        <w:tc>
          <w:tcPr>
            <w:tcW w:w="1870" w:type="dxa"/>
            <w:tcBorders>
              <w:top w:val="dashSmallGap"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高齢者数に占める割合</w:t>
            </w:r>
          </w:p>
        </w:tc>
        <w:tc>
          <w:tcPr>
            <w:tcW w:w="951" w:type="dxa"/>
            <w:tcBorders>
              <w:top w:val="dashSmallGap"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10.6</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10.8</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10.8</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10.9</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11.2</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dashSmallGap"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11.4</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dashSmallGap"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14.5</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r>
    </w:tbl>
    <w:p>
      <w:pPr>
        <w:pStyle w:val="19"/>
        <w:spacing w:before="190" w:beforeLines="0" w:beforeAutospacing="0"/>
        <w:rPr>
          <w:rFonts w:hint="default"/>
          <w:color w:val="auto"/>
        </w:rPr>
      </w:pPr>
      <w:r>
        <w:rPr>
          <w:rFonts w:hint="eastAsia"/>
          <w:color w:val="auto"/>
        </w:rPr>
        <w:t>図表　日常生活圏域別認知症高齢者数等の推移・推計</w:t>
      </w:r>
    </w:p>
    <w:p>
      <w:pPr>
        <w:pStyle w:val="19"/>
        <w:spacing w:before="0" w:beforeLines="0" w:beforeAutospacing="0"/>
        <w:rPr>
          <w:rFonts w:hint="default"/>
          <w:color w:val="auto"/>
        </w:rPr>
      </w:pPr>
      <w:r>
        <w:rPr>
          <w:rFonts w:hint="eastAsia"/>
          <w:color w:val="auto"/>
        </w:rPr>
        <w:t>（要支援・要介護認定者のうち認知症高齢者の日常生活自立度Ⅱ</w:t>
      </w:r>
      <w:r>
        <w:rPr>
          <w:rFonts w:hint="eastAsia"/>
          <w:color w:val="auto"/>
        </w:rPr>
        <w:t>a</w:t>
      </w:r>
      <w:r>
        <w:rPr>
          <w:rFonts w:hint="eastAsia"/>
          <w:color w:val="auto"/>
        </w:rPr>
        <w:t>以上の人）</w:t>
      </w:r>
    </w:p>
    <w:p>
      <w:pPr>
        <w:pStyle w:val="0"/>
        <w:widowControl w:val="1"/>
        <w:autoSpaceDE w:val="0"/>
        <w:autoSpaceDN w:val="0"/>
        <w:spacing w:after="33" w:afterLines="10" w:afterAutospacing="0" w:line="240" w:lineRule="exact"/>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sz w:val="18"/>
        </w:rPr>
        <w:t>（単位：人）</w:t>
      </w:r>
    </w:p>
    <w:tbl>
      <w:tblPr>
        <w:tblStyle w:val="43"/>
        <w:tblW w:w="8533" w:type="dxa"/>
        <w:tblInd w:w="534" w:type="dxa"/>
        <w:tblLayout w:type="fixed"/>
        <w:tblLook w:firstRow="1" w:lastRow="0" w:firstColumn="1" w:lastColumn="0" w:noHBand="0" w:noVBand="1" w:val="04A0"/>
      </w:tblPr>
      <w:tblGrid>
        <w:gridCol w:w="737"/>
        <w:gridCol w:w="1559"/>
        <w:gridCol w:w="891"/>
        <w:gridCol w:w="891"/>
        <w:gridCol w:w="891"/>
        <w:gridCol w:w="891"/>
        <w:gridCol w:w="891"/>
        <w:gridCol w:w="891"/>
        <w:gridCol w:w="891"/>
      </w:tblGrid>
      <w:tr>
        <w:trPr/>
        <w:tc>
          <w:tcPr>
            <w:tcW w:w="2296" w:type="dxa"/>
            <w:gridSpan w:val="2"/>
            <w:vMerge w:val="restart"/>
            <w:shd w:val="clear" w:color="auto" w:fill="CCECFF"/>
            <w:vAlign w:val="center"/>
          </w:tcPr>
          <w:p>
            <w:pPr>
              <w:pStyle w:val="0"/>
              <w:autoSpaceDE w:val="0"/>
              <w:autoSpaceDN w:val="0"/>
              <w:spacing w:line="240" w:lineRule="exact"/>
              <w:jc w:val="center"/>
              <w:rPr>
                <w:rFonts w:hint="default" w:ascii="ＭＳ Ｐゴシック" w:hAnsi="ＭＳ Ｐゴシック" w:eastAsia="ＭＳ Ｐゴシック"/>
                <w:kern w:val="24"/>
                <w:sz w:val="18"/>
              </w:rPr>
            </w:pPr>
          </w:p>
        </w:tc>
        <w:tc>
          <w:tcPr>
            <w:tcW w:w="2673" w:type="dxa"/>
            <w:gridSpan w:val="3"/>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第</w:t>
            </w:r>
            <w:r>
              <w:rPr>
                <w:rFonts w:hint="eastAsia" w:ascii="ＭＳ Ｐゴシック" w:hAnsi="ＭＳ Ｐゴシック" w:eastAsia="ＭＳ Ｐゴシック"/>
                <w:kern w:val="24"/>
                <w:sz w:val="18"/>
              </w:rPr>
              <w:t>8</w:t>
            </w:r>
            <w:r>
              <w:rPr>
                <w:rFonts w:hint="eastAsia" w:ascii="ＭＳ Ｐゴシック" w:hAnsi="ＭＳ Ｐゴシック" w:eastAsia="ＭＳ Ｐゴシック"/>
                <w:kern w:val="24"/>
                <w:sz w:val="18"/>
              </w:rPr>
              <w:t>期</w:t>
            </w:r>
          </w:p>
        </w:tc>
        <w:tc>
          <w:tcPr>
            <w:tcW w:w="2673" w:type="dxa"/>
            <w:gridSpan w:val="3"/>
            <w:tcBorders>
              <w:top w:val="none" w:color="auto" w:sz="0" w:space="0"/>
              <w:left w:val="none" w:color="auto" w:sz="0" w:space="0"/>
              <w:bottom w:val="none" w:color="auto" w:sz="0" w:space="0"/>
              <w:right w:val="double" w:color="auto" w:sz="4" w:space="0"/>
              <w:tl2br w:val="none" w:color="auto" w:sz="0" w:space="0"/>
              <w:tr2bl w:val="none" w:color="auto" w:sz="0" w:space="0"/>
            </w:tcBorders>
            <w:shd w:val="clear" w:color="auto" w:fill="CCECFF"/>
            <w:vAlign w:val="center"/>
          </w:tcPr>
          <w:p>
            <w:pPr>
              <w:pStyle w:val="0"/>
              <w:widowControl w:val="1"/>
              <w:autoSpaceDE w:val="0"/>
              <w:autoSpaceDN w:val="0"/>
              <w:spacing w:line="240" w:lineRule="exact"/>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第</w:t>
            </w:r>
            <w:r>
              <w:rPr>
                <w:rFonts w:hint="eastAsia" w:ascii="ＭＳ Ｐゴシック" w:hAnsi="ＭＳ Ｐゴシック" w:eastAsia="ＭＳ Ｐゴシック"/>
                <w:kern w:val="24"/>
                <w:sz w:val="18"/>
              </w:rPr>
              <w:t>9</w:t>
            </w:r>
            <w:r>
              <w:rPr>
                <w:rFonts w:hint="eastAsia" w:ascii="ＭＳ Ｐゴシック" w:hAnsi="ＭＳ Ｐゴシック" w:eastAsia="ＭＳ Ｐゴシック"/>
                <w:kern w:val="24"/>
                <w:sz w:val="18"/>
              </w:rPr>
              <w:t>期</w:t>
            </w:r>
          </w:p>
        </w:tc>
        <w:tc>
          <w:tcPr>
            <w:tcW w:w="891"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w w:val="95"/>
                <w:kern w:val="24"/>
                <w:sz w:val="18"/>
              </w:rPr>
            </w:pPr>
            <w:r>
              <w:rPr>
                <w:rFonts w:hint="eastAsia" w:ascii="ＭＳ Ｐゴシック" w:hAnsi="ＭＳ Ｐゴシック" w:eastAsia="ＭＳ Ｐゴシック"/>
                <w:w w:val="95"/>
                <w:kern w:val="24"/>
                <w:sz w:val="18"/>
              </w:rPr>
              <w:t>令和</w:t>
            </w:r>
            <w:r>
              <w:rPr>
                <w:rFonts w:hint="eastAsia" w:ascii="ＭＳ Ｐゴシック" w:hAnsi="ＭＳ Ｐゴシック" w:eastAsia="ＭＳ Ｐゴシック"/>
                <w:w w:val="95"/>
                <w:kern w:val="24"/>
                <w:sz w:val="18"/>
              </w:rPr>
              <w:t>22</w:t>
            </w:r>
            <w:r>
              <w:rPr>
                <w:rFonts w:hint="eastAsia" w:ascii="ＭＳ Ｐゴシック" w:hAnsi="ＭＳ Ｐゴシック" w:eastAsia="ＭＳ Ｐゴシック"/>
                <w:w w:val="95"/>
                <w:kern w:val="24"/>
                <w:sz w:val="18"/>
              </w:rPr>
              <w:t>年度</w:t>
            </w:r>
          </w:p>
          <w:p>
            <w:pPr>
              <w:pStyle w:val="0"/>
              <w:autoSpaceDE w:val="0"/>
              <w:autoSpaceDN w:val="0"/>
              <w:spacing w:line="240" w:lineRule="exact"/>
              <w:ind w:left="-220" w:leftChars="-100" w:right="-220" w:rightChars="-100"/>
              <w:jc w:val="center"/>
              <w:rPr>
                <w:rFonts w:hint="default" w:ascii="ＭＳ Ｐゴシック" w:hAnsi="ＭＳ Ｐゴシック" w:eastAsia="ＭＳ Ｐゴシック"/>
                <w:w w:val="95"/>
                <w:kern w:val="24"/>
                <w:sz w:val="18"/>
              </w:rPr>
            </w:pPr>
            <w:r>
              <w:rPr>
                <w:rFonts w:hint="eastAsia" w:ascii="ＭＳ Ｐゴシック" w:hAnsi="ＭＳ Ｐゴシック" w:eastAsia="ＭＳ Ｐゴシック"/>
                <w:w w:val="95"/>
                <w:kern w:val="24"/>
                <w:sz w:val="18"/>
              </w:rPr>
              <w:t>（</w:t>
            </w:r>
            <w:r>
              <w:rPr>
                <w:rFonts w:hint="eastAsia" w:ascii="ＭＳ Ｐゴシック" w:hAnsi="ＭＳ Ｐゴシック" w:eastAsia="ＭＳ Ｐゴシック"/>
                <w:w w:val="95"/>
                <w:kern w:val="24"/>
                <w:sz w:val="18"/>
              </w:rPr>
              <w:t>2040</w:t>
            </w:r>
            <w:r>
              <w:rPr>
                <w:rFonts w:hint="eastAsia" w:ascii="ＭＳ Ｐゴシック" w:hAnsi="ＭＳ Ｐゴシック" w:eastAsia="ＭＳ Ｐゴシック"/>
                <w:w w:val="95"/>
                <w:kern w:val="24"/>
                <w:sz w:val="18"/>
              </w:rPr>
              <w:t>年度）</w:t>
            </w:r>
          </w:p>
        </w:tc>
      </w:tr>
      <w:tr>
        <w:trPr/>
        <w:tc>
          <w:tcPr>
            <w:tcW w:w="2296" w:type="dxa"/>
            <w:gridSpan w:val="2"/>
            <w:vMerge w:val="continue"/>
            <w:shd w:val="clear" w:color="auto" w:fill="CCECFF"/>
            <w:vAlign w:val="center"/>
          </w:tcPr>
          <w:p>
            <w:pPr>
              <w:pStyle w:val="0"/>
              <w:widowControl w:val="1"/>
              <w:autoSpaceDE w:val="0"/>
              <w:autoSpaceDN w:val="0"/>
              <w:spacing w:line="240" w:lineRule="exact"/>
              <w:jc w:val="center"/>
              <w:rPr>
                <w:rFonts w:hint="default" w:ascii="ＭＳ Ｐゴシック" w:hAnsi="ＭＳ Ｐゴシック" w:eastAsia="ＭＳ Ｐゴシック"/>
                <w:kern w:val="24"/>
                <w:sz w:val="18"/>
              </w:rPr>
            </w:pPr>
          </w:p>
        </w:tc>
        <w:tc>
          <w:tcPr>
            <w:tcW w:w="891" w:type="dxa"/>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3</w:t>
            </w:r>
            <w:r>
              <w:rPr>
                <w:rFonts w:hint="eastAsia" w:ascii="ＭＳ Ｐゴシック" w:hAnsi="ＭＳ Ｐゴシック" w:eastAsia="ＭＳ Ｐゴシック"/>
                <w:kern w:val="24"/>
                <w:sz w:val="18"/>
              </w:rPr>
              <w:t>年度</w:t>
            </w:r>
          </w:p>
          <w:p>
            <w:pPr>
              <w:pStyle w:val="0"/>
              <w:widowControl w:val="1"/>
              <w:autoSpaceDE w:val="0"/>
              <w:autoSpaceDN w:val="0"/>
              <w:spacing w:line="24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2021</w:t>
            </w:r>
            <w:r>
              <w:rPr>
                <w:rFonts w:hint="eastAsia" w:ascii="ＭＳ Ｐゴシック" w:hAnsi="ＭＳ Ｐゴシック" w:eastAsia="ＭＳ Ｐゴシック"/>
                <w:kern w:val="24"/>
                <w:sz w:val="18"/>
              </w:rPr>
              <w:t>年度）</w:t>
            </w:r>
          </w:p>
        </w:tc>
        <w:tc>
          <w:tcPr>
            <w:tcW w:w="891" w:type="dxa"/>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4</w:t>
            </w:r>
            <w:r>
              <w:rPr>
                <w:rFonts w:hint="eastAsia" w:ascii="ＭＳ Ｐゴシック" w:hAnsi="ＭＳ Ｐゴシック" w:eastAsia="ＭＳ Ｐゴシック"/>
                <w:kern w:val="24"/>
                <w:sz w:val="18"/>
              </w:rPr>
              <w:t>年度</w:t>
            </w:r>
          </w:p>
          <w:p>
            <w:pPr>
              <w:pStyle w:val="0"/>
              <w:widowControl w:val="1"/>
              <w:autoSpaceDE w:val="0"/>
              <w:autoSpaceDN w:val="0"/>
              <w:spacing w:line="24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2022</w:t>
            </w:r>
            <w:r>
              <w:rPr>
                <w:rFonts w:hint="eastAsia" w:ascii="ＭＳ Ｐゴシック" w:hAnsi="ＭＳ Ｐゴシック" w:eastAsia="ＭＳ Ｐゴシック"/>
                <w:kern w:val="24"/>
                <w:sz w:val="18"/>
              </w:rPr>
              <w:t>年度）</w:t>
            </w:r>
          </w:p>
        </w:tc>
        <w:tc>
          <w:tcPr>
            <w:tcW w:w="891" w:type="dxa"/>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5</w:t>
            </w:r>
            <w:r>
              <w:rPr>
                <w:rFonts w:hint="eastAsia" w:ascii="ＭＳ Ｐゴシック" w:hAnsi="ＭＳ Ｐゴシック" w:eastAsia="ＭＳ Ｐゴシック"/>
                <w:kern w:val="24"/>
                <w:sz w:val="18"/>
              </w:rPr>
              <w:t>年度</w:t>
            </w:r>
          </w:p>
          <w:p>
            <w:pPr>
              <w:pStyle w:val="0"/>
              <w:widowControl w:val="1"/>
              <w:autoSpaceDE w:val="0"/>
              <w:autoSpaceDN w:val="0"/>
              <w:spacing w:line="24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2023</w:t>
            </w:r>
            <w:r>
              <w:rPr>
                <w:rFonts w:hint="eastAsia" w:ascii="ＭＳ Ｐゴシック" w:hAnsi="ＭＳ Ｐゴシック" w:eastAsia="ＭＳ Ｐゴシック"/>
                <w:kern w:val="24"/>
                <w:sz w:val="18"/>
              </w:rPr>
              <w:t>年度）</w:t>
            </w:r>
          </w:p>
        </w:tc>
        <w:tc>
          <w:tcPr>
            <w:tcW w:w="891" w:type="dxa"/>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6</w:t>
            </w:r>
            <w:r>
              <w:rPr>
                <w:rFonts w:hint="eastAsia" w:ascii="ＭＳ Ｐゴシック" w:hAnsi="ＭＳ Ｐゴシック" w:eastAsia="ＭＳ Ｐゴシック"/>
                <w:kern w:val="24"/>
                <w:sz w:val="18"/>
              </w:rPr>
              <w:t>年度</w:t>
            </w:r>
          </w:p>
          <w:p>
            <w:pPr>
              <w:pStyle w:val="0"/>
              <w:widowControl w:val="1"/>
              <w:autoSpaceDE w:val="0"/>
              <w:autoSpaceDN w:val="0"/>
              <w:spacing w:line="24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2024</w:t>
            </w:r>
            <w:r>
              <w:rPr>
                <w:rFonts w:hint="eastAsia" w:ascii="ＭＳ Ｐゴシック" w:hAnsi="ＭＳ Ｐゴシック" w:eastAsia="ＭＳ Ｐゴシック"/>
                <w:kern w:val="24"/>
                <w:sz w:val="18"/>
              </w:rPr>
              <w:t>年度）</w:t>
            </w:r>
          </w:p>
        </w:tc>
        <w:tc>
          <w:tcPr>
            <w:tcW w:w="891" w:type="dxa"/>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7</w:t>
            </w:r>
            <w:r>
              <w:rPr>
                <w:rFonts w:hint="eastAsia" w:ascii="ＭＳ Ｐゴシック" w:hAnsi="ＭＳ Ｐゴシック" w:eastAsia="ＭＳ Ｐゴシック"/>
                <w:kern w:val="24"/>
                <w:sz w:val="18"/>
              </w:rPr>
              <w:t>年度</w:t>
            </w:r>
          </w:p>
          <w:p>
            <w:pPr>
              <w:pStyle w:val="0"/>
              <w:widowControl w:val="1"/>
              <w:autoSpaceDE w:val="0"/>
              <w:autoSpaceDN w:val="0"/>
              <w:spacing w:line="24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2025</w:t>
            </w:r>
            <w:r>
              <w:rPr>
                <w:rFonts w:hint="eastAsia" w:ascii="ＭＳ Ｐゴシック" w:hAnsi="ＭＳ Ｐゴシック" w:eastAsia="ＭＳ Ｐゴシック"/>
                <w:kern w:val="24"/>
                <w:sz w:val="18"/>
              </w:rPr>
              <w:t>年度）</w:t>
            </w:r>
          </w:p>
        </w:tc>
        <w:tc>
          <w:tcPr>
            <w:tcW w:w="891" w:type="dxa"/>
            <w:tcBorders>
              <w:top w:val="none" w:color="auto" w:sz="0" w:space="0"/>
              <w:left w:val="none" w:color="auto" w:sz="0" w:space="0"/>
              <w:bottom w:val="none" w:color="auto" w:sz="0" w:space="0"/>
              <w:right w:val="double" w:color="auto" w:sz="4"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8</w:t>
            </w:r>
            <w:r>
              <w:rPr>
                <w:rFonts w:hint="eastAsia" w:ascii="ＭＳ Ｐゴシック" w:hAnsi="ＭＳ Ｐゴシック" w:eastAsia="ＭＳ Ｐゴシック"/>
                <w:kern w:val="24"/>
                <w:sz w:val="18"/>
              </w:rPr>
              <w:t>年度</w:t>
            </w:r>
          </w:p>
          <w:p>
            <w:pPr>
              <w:pStyle w:val="0"/>
              <w:widowControl w:val="1"/>
              <w:autoSpaceDE w:val="0"/>
              <w:autoSpaceDN w:val="0"/>
              <w:spacing w:line="24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2026</w:t>
            </w:r>
            <w:r>
              <w:rPr>
                <w:rFonts w:hint="eastAsia" w:ascii="ＭＳ Ｐゴシック" w:hAnsi="ＭＳ Ｐゴシック" w:eastAsia="ＭＳ Ｐゴシック"/>
                <w:kern w:val="24"/>
                <w:sz w:val="18"/>
              </w:rPr>
              <w:t>年度）</w:t>
            </w:r>
          </w:p>
        </w:tc>
        <w:tc>
          <w:tcPr>
            <w:tcW w:w="891" w:type="dxa"/>
            <w:vMerge w:val="continue"/>
            <w:tcBorders>
              <w:top w:val="none" w:color="auto" w:sz="0" w:space="0"/>
              <w:left w:val="single" w:color="auto" w:sz="4" w:space="0"/>
              <w:bottom w:val="single" w:color="auto" w:sz="4" w:space="0"/>
              <w:right w:val="none" w:color="auto" w:sz="0" w:space="0"/>
              <w:tl2br w:val="none" w:color="auto" w:sz="0" w:space="0"/>
              <w:tr2bl w:val="none" w:color="auto" w:sz="0" w:space="0"/>
            </w:tcBorders>
            <w:shd w:val="clear" w:color="auto" w:fill="CCECFF"/>
            <w:vAlign w:val="top"/>
          </w:tcPr>
          <w:p>
            <w:pPr>
              <w:pStyle w:val="0"/>
              <w:widowControl w:val="1"/>
              <w:autoSpaceDE w:val="0"/>
              <w:autoSpaceDN w:val="0"/>
              <w:spacing w:line="240" w:lineRule="exact"/>
              <w:ind w:left="-110" w:leftChars="-50" w:right="-110" w:rightChars="-50"/>
              <w:jc w:val="center"/>
              <w:rPr>
                <w:rFonts w:hint="default" w:ascii="ＭＳ Ｐゴシック" w:hAnsi="ＭＳ Ｐゴシック" w:eastAsia="ＭＳ Ｐゴシック"/>
                <w:w w:val="95"/>
                <w:kern w:val="24"/>
                <w:sz w:val="18"/>
              </w:rPr>
            </w:pPr>
          </w:p>
        </w:tc>
      </w:tr>
      <w:tr>
        <w:trPr>
          <w:trHeight w:val="283" w:hRule="atLeast"/>
        </w:trPr>
        <w:tc>
          <w:tcPr>
            <w:tcW w:w="737" w:type="dxa"/>
            <w:vMerge w:val="restart"/>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廿日市</w:t>
            </w:r>
          </w:p>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東部</w:t>
            </w:r>
          </w:p>
        </w:tc>
        <w:tc>
          <w:tcPr>
            <w:tcW w:w="1559" w:type="dxa"/>
            <w:tcBorders>
              <w:top w:val="single" w:color="auto" w:sz="4" w:space="0"/>
              <w:left w:val="none" w:color="auto" w:sz="0" w:space="0"/>
              <w:bottom w:val="dashSmallGap"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認知症高齢者数</w:t>
            </w:r>
          </w:p>
        </w:tc>
        <w:tc>
          <w:tcPr>
            <w:tcW w:w="891" w:type="dxa"/>
            <w:tcBorders>
              <w:top w:val="single" w:color="auto" w:sz="4" w:space="0"/>
              <w:left w:val="single" w:color="auto" w:sz="4" w:space="0"/>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816</w:t>
            </w:r>
          </w:p>
        </w:tc>
        <w:tc>
          <w:tcPr>
            <w:tcW w:w="891" w:type="dxa"/>
            <w:tcBorders>
              <w:top w:val="single" w:color="auto" w:sz="4" w:space="0"/>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818</w:t>
            </w:r>
          </w:p>
        </w:tc>
        <w:tc>
          <w:tcPr>
            <w:tcW w:w="891" w:type="dxa"/>
            <w:tcBorders>
              <w:top w:val="single" w:color="auto" w:sz="4" w:space="0"/>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784</w:t>
            </w:r>
          </w:p>
        </w:tc>
        <w:tc>
          <w:tcPr>
            <w:tcW w:w="891" w:type="dxa"/>
            <w:tcBorders>
              <w:top w:val="single" w:color="auto" w:sz="4" w:space="0"/>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815</w:t>
            </w:r>
          </w:p>
        </w:tc>
        <w:tc>
          <w:tcPr>
            <w:tcW w:w="891" w:type="dxa"/>
            <w:tcBorders>
              <w:top w:val="single" w:color="auto" w:sz="4" w:space="0"/>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835</w:t>
            </w:r>
          </w:p>
        </w:tc>
        <w:tc>
          <w:tcPr>
            <w:tcW w:w="891" w:type="dxa"/>
            <w:tcBorders>
              <w:top w:val="single" w:color="auto" w:sz="4" w:space="0"/>
              <w:left w:val="nil"/>
              <w:bottom w:val="dashSmallGap"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851</w:t>
            </w:r>
          </w:p>
        </w:tc>
        <w:tc>
          <w:tcPr>
            <w:tcW w:w="891" w:type="dxa"/>
            <w:tcBorders>
              <w:top w:val="single" w:color="auto" w:sz="4" w:space="0"/>
              <w:left w:val="double" w:color="auto" w:sz="4" w:space="0"/>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1,124</w:t>
            </w:r>
          </w:p>
        </w:tc>
      </w:tr>
      <w:tr>
        <w:trPr>
          <w:trHeight w:val="283" w:hRule="atLeast"/>
        </w:trPr>
        <w:tc>
          <w:tcPr>
            <w:tcW w:w="737" w:type="dxa"/>
            <w:vMerge w:val="continue"/>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w w:val="70"/>
                <w:kern w:val="24"/>
                <w:sz w:val="18"/>
              </w:rPr>
            </w:pPr>
            <w:r>
              <w:rPr>
                <w:rFonts w:hint="eastAsia" w:ascii="ＭＳ Ｐゴシック" w:hAnsi="ＭＳ Ｐゴシック" w:eastAsia="ＭＳ Ｐゴシック"/>
                <w:w w:val="70"/>
                <w:kern w:val="24"/>
                <w:sz w:val="18"/>
              </w:rPr>
              <w:t>高齢者数に占める割合</w:t>
            </w:r>
          </w:p>
        </w:tc>
        <w:tc>
          <w:tcPr>
            <w:tcW w:w="891" w:type="dxa"/>
            <w:tcBorders>
              <w:top w:val="dashSmallGap"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10.6%</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10.6%</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10.2%</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10.5%</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10.7%</w:t>
            </w:r>
          </w:p>
        </w:tc>
        <w:tc>
          <w:tcPr>
            <w:tcW w:w="891" w:type="dxa"/>
            <w:tcBorders>
              <w:top w:val="dashSmallGap"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10.9%</w:t>
            </w:r>
          </w:p>
        </w:tc>
        <w:tc>
          <w:tcPr>
            <w:tcW w:w="891" w:type="dxa"/>
            <w:tcBorders>
              <w:top w:val="dashSmallGap"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12.3%</w:t>
            </w:r>
          </w:p>
        </w:tc>
      </w:tr>
      <w:tr>
        <w:trPr>
          <w:trHeight w:val="283" w:hRule="atLeast"/>
        </w:trPr>
        <w:tc>
          <w:tcPr>
            <w:tcW w:w="737" w:type="dxa"/>
            <w:vMerge w:val="restart"/>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廿日市</w:t>
            </w:r>
          </w:p>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中部</w:t>
            </w:r>
          </w:p>
        </w:tc>
        <w:tc>
          <w:tcPr>
            <w:tcW w:w="1559" w:type="dxa"/>
            <w:tcBorders>
              <w:top w:val="single" w:color="auto" w:sz="4" w:space="0"/>
              <w:left w:val="none" w:color="auto" w:sz="0" w:space="0"/>
              <w:bottom w:val="dashSmallGap"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認知症高齢者数</w:t>
            </w:r>
          </w:p>
        </w:tc>
        <w:tc>
          <w:tcPr>
            <w:tcW w:w="891" w:type="dxa"/>
            <w:tcBorders>
              <w:top w:val="nil"/>
              <w:left w:val="single" w:color="auto" w:sz="4" w:space="0"/>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628</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675</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665</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704</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730</w:t>
            </w:r>
          </w:p>
        </w:tc>
        <w:tc>
          <w:tcPr>
            <w:tcW w:w="891" w:type="dxa"/>
            <w:tcBorders>
              <w:top w:val="nil"/>
              <w:left w:val="nil"/>
              <w:bottom w:val="dashSmallGap"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761</w:t>
            </w:r>
          </w:p>
        </w:tc>
        <w:tc>
          <w:tcPr>
            <w:tcW w:w="891" w:type="dxa"/>
            <w:tcBorders>
              <w:top w:val="nil"/>
              <w:left w:val="double" w:color="auto" w:sz="4" w:space="0"/>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1,250</w:t>
            </w:r>
          </w:p>
        </w:tc>
      </w:tr>
      <w:tr>
        <w:trPr>
          <w:trHeight w:val="283" w:hRule="atLeast"/>
        </w:trPr>
        <w:tc>
          <w:tcPr>
            <w:tcW w:w="737" w:type="dxa"/>
            <w:vMerge w:val="continue"/>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p>
        </w:tc>
        <w:tc>
          <w:tcPr>
            <w:tcW w:w="1559" w:type="dxa"/>
            <w:tcBorders>
              <w:top w:val="dashSmallGap"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w w:val="75"/>
                <w:kern w:val="24"/>
                <w:sz w:val="18"/>
              </w:rPr>
            </w:pPr>
            <w:r>
              <w:rPr>
                <w:rFonts w:hint="eastAsia" w:ascii="ＭＳ Ｐゴシック" w:hAnsi="ＭＳ Ｐゴシック" w:eastAsia="ＭＳ Ｐゴシック"/>
                <w:w w:val="70"/>
                <w:kern w:val="24"/>
                <w:sz w:val="18"/>
              </w:rPr>
              <w:t>高齢者数に占める割合</w:t>
            </w:r>
          </w:p>
        </w:tc>
        <w:tc>
          <w:tcPr>
            <w:tcW w:w="891" w:type="dxa"/>
            <w:tcBorders>
              <w:top w:val="dashSmallGap"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8.6%</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9.0%</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8.6%</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8.9%</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9.0%</w:t>
            </w:r>
          </w:p>
        </w:tc>
        <w:tc>
          <w:tcPr>
            <w:tcW w:w="891" w:type="dxa"/>
            <w:tcBorders>
              <w:top w:val="dashSmallGap"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9.2%</w:t>
            </w:r>
          </w:p>
        </w:tc>
        <w:tc>
          <w:tcPr>
            <w:tcW w:w="891" w:type="dxa"/>
            <w:tcBorders>
              <w:top w:val="dashSmallGap"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15.5%</w:t>
            </w:r>
          </w:p>
        </w:tc>
      </w:tr>
      <w:tr>
        <w:trPr>
          <w:trHeight w:val="283" w:hRule="atLeast"/>
        </w:trPr>
        <w:tc>
          <w:tcPr>
            <w:tcW w:w="737" w:type="dxa"/>
            <w:vMerge w:val="restart"/>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廿日市</w:t>
            </w:r>
          </w:p>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西部</w:t>
            </w:r>
          </w:p>
        </w:tc>
        <w:tc>
          <w:tcPr>
            <w:tcW w:w="1559" w:type="dxa"/>
            <w:tcBorders>
              <w:top w:val="single" w:color="auto" w:sz="4" w:space="0"/>
              <w:left w:val="none" w:color="auto" w:sz="0" w:space="0"/>
              <w:bottom w:val="dashSmallGap"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認知症高齢者数</w:t>
            </w:r>
          </w:p>
        </w:tc>
        <w:tc>
          <w:tcPr>
            <w:tcW w:w="891" w:type="dxa"/>
            <w:tcBorders>
              <w:top w:val="nil"/>
              <w:left w:val="single" w:color="auto" w:sz="4" w:space="0"/>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724</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757</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775</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822</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850</w:t>
            </w:r>
          </w:p>
        </w:tc>
        <w:tc>
          <w:tcPr>
            <w:tcW w:w="891" w:type="dxa"/>
            <w:tcBorders>
              <w:top w:val="nil"/>
              <w:left w:val="nil"/>
              <w:bottom w:val="dashSmallGap"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874</w:t>
            </w:r>
          </w:p>
        </w:tc>
        <w:tc>
          <w:tcPr>
            <w:tcW w:w="891" w:type="dxa"/>
            <w:tcBorders>
              <w:top w:val="nil"/>
              <w:left w:val="double" w:color="auto" w:sz="4" w:space="0"/>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1,118</w:t>
            </w:r>
          </w:p>
        </w:tc>
      </w:tr>
      <w:tr>
        <w:trPr>
          <w:trHeight w:val="283" w:hRule="atLeast"/>
        </w:trPr>
        <w:tc>
          <w:tcPr>
            <w:tcW w:w="737" w:type="dxa"/>
            <w:vMerge w:val="continue"/>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p>
        </w:tc>
        <w:tc>
          <w:tcPr>
            <w:tcW w:w="1559" w:type="dxa"/>
            <w:tcBorders>
              <w:top w:val="dashSmallGap"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w w:val="75"/>
                <w:kern w:val="24"/>
                <w:sz w:val="18"/>
              </w:rPr>
            </w:pPr>
            <w:r>
              <w:rPr>
                <w:rFonts w:hint="eastAsia" w:ascii="ＭＳ Ｐゴシック" w:hAnsi="ＭＳ Ｐゴシック" w:eastAsia="ＭＳ Ｐゴシック"/>
                <w:w w:val="70"/>
                <w:kern w:val="24"/>
                <w:sz w:val="18"/>
              </w:rPr>
              <w:t>高齢者数に占める割合</w:t>
            </w:r>
          </w:p>
        </w:tc>
        <w:tc>
          <w:tcPr>
            <w:tcW w:w="891" w:type="dxa"/>
            <w:tcBorders>
              <w:top w:val="dashSmallGap"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10.3%</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10.7%</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10.9%</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11.5%</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11.8%</w:t>
            </w:r>
          </w:p>
        </w:tc>
        <w:tc>
          <w:tcPr>
            <w:tcW w:w="891" w:type="dxa"/>
            <w:tcBorders>
              <w:top w:val="dashSmallGap"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12.2%</w:t>
            </w:r>
          </w:p>
        </w:tc>
        <w:tc>
          <w:tcPr>
            <w:tcW w:w="891" w:type="dxa"/>
            <w:tcBorders>
              <w:top w:val="dashSmallGap"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16.7%</w:t>
            </w:r>
          </w:p>
        </w:tc>
      </w:tr>
      <w:tr>
        <w:trPr>
          <w:trHeight w:val="283" w:hRule="atLeast"/>
        </w:trPr>
        <w:tc>
          <w:tcPr>
            <w:tcW w:w="737" w:type="dxa"/>
            <w:vMerge w:val="restart"/>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佐伯</w:t>
            </w:r>
          </w:p>
        </w:tc>
        <w:tc>
          <w:tcPr>
            <w:tcW w:w="1559" w:type="dxa"/>
            <w:tcBorders>
              <w:top w:val="single" w:color="auto" w:sz="4" w:space="0"/>
              <w:left w:val="none" w:color="auto" w:sz="0" w:space="0"/>
              <w:bottom w:val="dashSmallGap"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認知症高齢者数</w:t>
            </w:r>
          </w:p>
        </w:tc>
        <w:tc>
          <w:tcPr>
            <w:tcW w:w="891" w:type="dxa"/>
            <w:tcBorders>
              <w:top w:val="nil"/>
              <w:left w:val="single" w:color="auto" w:sz="4" w:space="0"/>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434</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450</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445</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456</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456</w:t>
            </w:r>
          </w:p>
        </w:tc>
        <w:tc>
          <w:tcPr>
            <w:tcW w:w="891" w:type="dxa"/>
            <w:tcBorders>
              <w:top w:val="nil"/>
              <w:left w:val="nil"/>
              <w:bottom w:val="dashSmallGap"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457</w:t>
            </w:r>
          </w:p>
        </w:tc>
        <w:tc>
          <w:tcPr>
            <w:tcW w:w="891" w:type="dxa"/>
            <w:tcBorders>
              <w:top w:val="nil"/>
              <w:left w:val="double" w:color="auto" w:sz="4" w:space="0"/>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466</w:t>
            </w:r>
          </w:p>
        </w:tc>
      </w:tr>
      <w:tr>
        <w:trPr>
          <w:trHeight w:val="283" w:hRule="atLeast"/>
        </w:trPr>
        <w:tc>
          <w:tcPr>
            <w:tcW w:w="737" w:type="dxa"/>
            <w:vMerge w:val="continue"/>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p>
        </w:tc>
        <w:tc>
          <w:tcPr>
            <w:tcW w:w="1559" w:type="dxa"/>
            <w:tcBorders>
              <w:top w:val="dashSmallGap"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w w:val="75"/>
                <w:kern w:val="24"/>
                <w:sz w:val="18"/>
              </w:rPr>
            </w:pPr>
            <w:r>
              <w:rPr>
                <w:rFonts w:hint="eastAsia" w:ascii="ＭＳ Ｐゴシック" w:hAnsi="ＭＳ Ｐゴシック" w:eastAsia="ＭＳ Ｐゴシック"/>
                <w:w w:val="70"/>
                <w:kern w:val="24"/>
                <w:sz w:val="18"/>
              </w:rPr>
              <w:t>高齢者数に占める割合</w:t>
            </w:r>
          </w:p>
        </w:tc>
        <w:tc>
          <w:tcPr>
            <w:tcW w:w="891" w:type="dxa"/>
            <w:tcBorders>
              <w:top w:val="dashSmallGap"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11.0%</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11.4%</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11.3%</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11.7%</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11.7%</w:t>
            </w:r>
          </w:p>
        </w:tc>
        <w:tc>
          <w:tcPr>
            <w:tcW w:w="891" w:type="dxa"/>
            <w:tcBorders>
              <w:top w:val="dashSmallGap"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11.9%</w:t>
            </w:r>
          </w:p>
        </w:tc>
        <w:tc>
          <w:tcPr>
            <w:tcW w:w="891" w:type="dxa"/>
            <w:tcBorders>
              <w:top w:val="dashSmallGap"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15.2%</w:t>
            </w:r>
          </w:p>
        </w:tc>
      </w:tr>
      <w:tr>
        <w:trPr>
          <w:trHeight w:val="283" w:hRule="atLeast"/>
        </w:trPr>
        <w:tc>
          <w:tcPr>
            <w:tcW w:w="737" w:type="dxa"/>
            <w:vMerge w:val="restart"/>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吉和</w:t>
            </w:r>
          </w:p>
        </w:tc>
        <w:tc>
          <w:tcPr>
            <w:tcW w:w="1559" w:type="dxa"/>
            <w:tcBorders>
              <w:top w:val="single" w:color="auto" w:sz="4" w:space="0"/>
              <w:left w:val="none" w:color="auto" w:sz="0" w:space="0"/>
              <w:bottom w:val="dashSmallGap"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認知症高齢者数</w:t>
            </w:r>
          </w:p>
        </w:tc>
        <w:tc>
          <w:tcPr>
            <w:tcW w:w="891" w:type="dxa"/>
            <w:tcBorders>
              <w:top w:val="nil"/>
              <w:left w:val="single" w:color="auto" w:sz="4" w:space="0"/>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49</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42</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43</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46</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w:t>
            </w:r>
          </w:p>
        </w:tc>
        <w:tc>
          <w:tcPr>
            <w:tcW w:w="891" w:type="dxa"/>
            <w:tcBorders>
              <w:top w:val="nil"/>
              <w:left w:val="nil"/>
              <w:bottom w:val="dashSmallGap"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44</w:t>
            </w:r>
          </w:p>
        </w:tc>
        <w:tc>
          <w:tcPr>
            <w:tcW w:w="891" w:type="dxa"/>
            <w:tcBorders>
              <w:top w:val="nil"/>
              <w:left w:val="double" w:color="auto" w:sz="4" w:space="0"/>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37</w:t>
            </w:r>
          </w:p>
        </w:tc>
      </w:tr>
      <w:tr>
        <w:trPr>
          <w:trHeight w:val="283" w:hRule="atLeast"/>
        </w:trPr>
        <w:tc>
          <w:tcPr>
            <w:tcW w:w="737" w:type="dxa"/>
            <w:vMerge w:val="continue"/>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p>
        </w:tc>
        <w:tc>
          <w:tcPr>
            <w:tcW w:w="1559" w:type="dxa"/>
            <w:tcBorders>
              <w:top w:val="dashSmallGap"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w w:val="75"/>
                <w:kern w:val="24"/>
                <w:sz w:val="18"/>
              </w:rPr>
            </w:pPr>
            <w:r>
              <w:rPr>
                <w:rFonts w:hint="eastAsia" w:ascii="ＭＳ Ｐゴシック" w:hAnsi="ＭＳ Ｐゴシック" w:eastAsia="ＭＳ Ｐゴシック"/>
                <w:w w:val="70"/>
                <w:kern w:val="24"/>
                <w:sz w:val="18"/>
              </w:rPr>
              <w:t>高齢者数に占める割合</w:t>
            </w:r>
          </w:p>
        </w:tc>
        <w:tc>
          <w:tcPr>
            <w:tcW w:w="891" w:type="dxa"/>
            <w:tcBorders>
              <w:top w:val="dashSmallGap"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15.7%</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13.7%</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14.4%</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15.3%</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15.1%</w:t>
            </w:r>
          </w:p>
        </w:tc>
        <w:tc>
          <w:tcPr>
            <w:tcW w:w="891" w:type="dxa"/>
            <w:tcBorders>
              <w:top w:val="dashSmallGap"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15.0%</w:t>
            </w:r>
          </w:p>
        </w:tc>
        <w:tc>
          <w:tcPr>
            <w:tcW w:w="891" w:type="dxa"/>
            <w:tcBorders>
              <w:top w:val="dashSmallGap"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14.6%</w:t>
            </w:r>
          </w:p>
        </w:tc>
      </w:tr>
      <w:tr>
        <w:trPr>
          <w:trHeight w:val="283" w:hRule="atLeast"/>
        </w:trPr>
        <w:tc>
          <w:tcPr>
            <w:tcW w:w="737" w:type="dxa"/>
            <w:vMerge w:val="restart"/>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大野</w:t>
            </w:r>
          </w:p>
        </w:tc>
        <w:tc>
          <w:tcPr>
            <w:tcW w:w="1559" w:type="dxa"/>
            <w:tcBorders>
              <w:top w:val="single" w:color="auto" w:sz="4" w:space="0"/>
              <w:left w:val="none" w:color="auto" w:sz="0" w:space="0"/>
              <w:bottom w:val="dashSmallGap"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認知症高齢者数</w:t>
            </w:r>
          </w:p>
        </w:tc>
        <w:tc>
          <w:tcPr>
            <w:tcW w:w="891" w:type="dxa"/>
            <w:tcBorders>
              <w:top w:val="nil"/>
              <w:left w:val="single" w:color="auto" w:sz="4" w:space="0"/>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w:t>
            </w:r>
            <w:r>
              <w:rPr>
                <w:rFonts w:hint="default" w:ascii="ＭＳ Ｐゴシック" w:hAnsi="ＭＳ Ｐゴシック" w:eastAsia="ＭＳ Ｐゴシック"/>
                <w:sz w:val="18"/>
              </w:rPr>
              <w:t>,</w:t>
            </w:r>
            <w:r>
              <w:rPr>
                <w:rFonts w:hint="eastAsia" w:ascii="ＭＳ Ｐゴシック" w:hAnsi="ＭＳ Ｐゴシック" w:eastAsia="ＭＳ Ｐゴシック"/>
                <w:sz w:val="18"/>
              </w:rPr>
              <w:t>002</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w:t>
            </w:r>
            <w:r>
              <w:rPr>
                <w:rFonts w:hint="default" w:ascii="ＭＳ Ｐゴシック" w:hAnsi="ＭＳ Ｐゴシック" w:eastAsia="ＭＳ Ｐゴシック"/>
                <w:sz w:val="18"/>
              </w:rPr>
              <w:t>,</w:t>
            </w:r>
            <w:r>
              <w:rPr>
                <w:rFonts w:hint="eastAsia" w:ascii="ＭＳ Ｐゴシック" w:hAnsi="ＭＳ Ｐゴシック" w:eastAsia="ＭＳ Ｐゴシック"/>
                <w:sz w:val="18"/>
              </w:rPr>
              <w:t>010</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1,042</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1,085</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1,107</w:t>
            </w:r>
          </w:p>
        </w:tc>
        <w:tc>
          <w:tcPr>
            <w:tcW w:w="891" w:type="dxa"/>
            <w:tcBorders>
              <w:top w:val="nil"/>
              <w:left w:val="nil"/>
              <w:bottom w:val="dashSmallGap"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1,128</w:t>
            </w:r>
          </w:p>
        </w:tc>
        <w:tc>
          <w:tcPr>
            <w:tcW w:w="891" w:type="dxa"/>
            <w:tcBorders>
              <w:top w:val="nil"/>
              <w:left w:val="double" w:color="auto" w:sz="4" w:space="0"/>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1,292</w:t>
            </w:r>
          </w:p>
        </w:tc>
      </w:tr>
      <w:tr>
        <w:trPr>
          <w:trHeight w:val="283" w:hRule="atLeast"/>
        </w:trPr>
        <w:tc>
          <w:tcPr>
            <w:tcW w:w="737" w:type="dxa"/>
            <w:vMerge w:val="continue"/>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p>
        </w:tc>
        <w:tc>
          <w:tcPr>
            <w:tcW w:w="1559" w:type="dxa"/>
            <w:tcBorders>
              <w:top w:val="dashSmallGap"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w w:val="75"/>
                <w:kern w:val="24"/>
                <w:sz w:val="18"/>
              </w:rPr>
            </w:pPr>
            <w:r>
              <w:rPr>
                <w:rFonts w:hint="eastAsia" w:ascii="ＭＳ Ｐゴシック" w:hAnsi="ＭＳ Ｐゴシック" w:eastAsia="ＭＳ Ｐゴシック"/>
                <w:w w:val="70"/>
                <w:kern w:val="24"/>
                <w:sz w:val="18"/>
              </w:rPr>
              <w:t>高齢者数に占める割合</w:t>
            </w:r>
          </w:p>
        </w:tc>
        <w:tc>
          <w:tcPr>
            <w:tcW w:w="891" w:type="dxa"/>
            <w:tcBorders>
              <w:top w:val="dashSmallGap"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11.2%</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11.3%</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11.6%</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12.1%</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12.3%</w:t>
            </w:r>
          </w:p>
        </w:tc>
        <w:tc>
          <w:tcPr>
            <w:tcW w:w="891" w:type="dxa"/>
            <w:tcBorders>
              <w:top w:val="dashSmallGap"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12.5%</w:t>
            </w:r>
          </w:p>
        </w:tc>
        <w:tc>
          <w:tcPr>
            <w:tcW w:w="891" w:type="dxa"/>
            <w:tcBorders>
              <w:top w:val="dashSmallGap"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13.9%</w:t>
            </w:r>
          </w:p>
        </w:tc>
      </w:tr>
      <w:tr>
        <w:trPr>
          <w:trHeight w:val="283" w:hRule="atLeast"/>
        </w:trPr>
        <w:tc>
          <w:tcPr>
            <w:tcW w:w="737" w:type="dxa"/>
            <w:vMerge w:val="restart"/>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宮島</w:t>
            </w:r>
          </w:p>
        </w:tc>
        <w:tc>
          <w:tcPr>
            <w:tcW w:w="1559" w:type="dxa"/>
            <w:tcBorders>
              <w:top w:val="single" w:color="auto" w:sz="4" w:space="0"/>
              <w:left w:val="none" w:color="auto" w:sz="0" w:space="0"/>
              <w:bottom w:val="dashSmallGap"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認知症高齢者数</w:t>
            </w:r>
          </w:p>
        </w:tc>
        <w:tc>
          <w:tcPr>
            <w:tcW w:w="891" w:type="dxa"/>
            <w:tcBorders>
              <w:top w:val="nil"/>
              <w:left w:val="single" w:color="auto" w:sz="4" w:space="0"/>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90</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82</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87</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90</w:t>
            </w:r>
          </w:p>
        </w:tc>
        <w:tc>
          <w:tcPr>
            <w:tcW w:w="891" w:type="dxa"/>
            <w:tcBorders>
              <w:top w:val="nil"/>
              <w:left w:val="nil"/>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93</w:t>
            </w:r>
          </w:p>
        </w:tc>
        <w:tc>
          <w:tcPr>
            <w:tcW w:w="891" w:type="dxa"/>
            <w:tcBorders>
              <w:top w:val="nil"/>
              <w:left w:val="nil"/>
              <w:bottom w:val="dashSmallGap"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93</w:t>
            </w:r>
          </w:p>
        </w:tc>
        <w:tc>
          <w:tcPr>
            <w:tcW w:w="891" w:type="dxa"/>
            <w:tcBorders>
              <w:top w:val="nil"/>
              <w:left w:val="double" w:color="auto" w:sz="4" w:space="0"/>
              <w:bottom w:val="dashSmallGap"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79</w:t>
            </w:r>
          </w:p>
        </w:tc>
      </w:tr>
      <w:tr>
        <w:trPr>
          <w:trHeight w:val="283" w:hRule="atLeast"/>
        </w:trPr>
        <w:tc>
          <w:tcPr>
            <w:tcW w:w="737" w:type="dxa"/>
            <w:vMerge w:val="continue"/>
            <w:vAlign w:val="center"/>
          </w:tcPr>
          <w:p>
            <w:pPr>
              <w:pStyle w:val="0"/>
              <w:autoSpaceDE w:val="0"/>
              <w:autoSpaceDN w:val="0"/>
              <w:spacing w:line="240" w:lineRule="exact"/>
              <w:jc w:val="center"/>
              <w:rPr>
                <w:rFonts w:hint="default" w:ascii="ＭＳ Ｐゴシック" w:hAnsi="ＭＳ Ｐゴシック" w:eastAsia="ＭＳ Ｐゴシック"/>
                <w:kern w:val="24"/>
                <w:sz w:val="18"/>
              </w:rPr>
            </w:pPr>
          </w:p>
        </w:tc>
        <w:tc>
          <w:tcPr>
            <w:tcW w:w="1559" w:type="dxa"/>
            <w:tcBorders>
              <w:top w:val="dashSmallGap"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w w:val="75"/>
                <w:kern w:val="24"/>
                <w:sz w:val="18"/>
              </w:rPr>
            </w:pPr>
            <w:r>
              <w:rPr>
                <w:rFonts w:hint="eastAsia" w:ascii="ＭＳ Ｐゴシック" w:hAnsi="ＭＳ Ｐゴシック" w:eastAsia="ＭＳ Ｐゴシック"/>
                <w:w w:val="70"/>
                <w:kern w:val="24"/>
                <w:sz w:val="18"/>
              </w:rPr>
              <w:t>高齢者数に占める割合</w:t>
            </w:r>
          </w:p>
        </w:tc>
        <w:tc>
          <w:tcPr>
            <w:tcW w:w="891" w:type="dxa"/>
            <w:tcBorders>
              <w:top w:val="dashSmallGap"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12.8%</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11.8%</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12.9%</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13.4%</w:t>
            </w:r>
          </w:p>
        </w:tc>
        <w:tc>
          <w:tcPr>
            <w:tcW w:w="891" w:type="dxa"/>
            <w:tcBorders>
              <w:top w:val="dashSmallGap"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14.1%</w:t>
            </w:r>
          </w:p>
        </w:tc>
        <w:tc>
          <w:tcPr>
            <w:tcW w:w="891" w:type="dxa"/>
            <w:tcBorders>
              <w:top w:val="dashSmallGap"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14.6%</w:t>
            </w:r>
          </w:p>
        </w:tc>
        <w:tc>
          <w:tcPr>
            <w:tcW w:w="891" w:type="dxa"/>
            <w:tcBorders>
              <w:top w:val="dashSmallGap"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17.1%</w:t>
            </w:r>
          </w:p>
        </w:tc>
      </w:tr>
    </w:tbl>
    <w:p>
      <w:pPr>
        <w:pStyle w:val="0"/>
        <w:widowControl w:val="1"/>
        <w:autoSpaceDE w:val="0"/>
        <w:autoSpaceDN w:val="0"/>
        <w:jc w:val="left"/>
        <w:rPr>
          <w:rFonts w:hint="default" w:ascii="ＭＳ ゴシック" w:hAnsi="ＭＳ ゴシック" w:eastAsia="ＭＳ ゴシック"/>
          <w:sz w:val="21"/>
          <w:shd w:val="clear" w:color="auto" w:themeFill="background1" w:themeFillTint="FF" w:themeFillShade="FF"/>
        </w:rPr>
      </w:pPr>
    </w:p>
    <w:p>
      <w:pPr>
        <w:pStyle w:val="0"/>
        <w:widowControl w:val="1"/>
        <w:autoSpaceDE w:val="0"/>
        <w:autoSpaceDN w:val="0"/>
        <w:jc w:val="left"/>
        <w:rPr>
          <w:rFonts w:hint="default" w:ascii="ＭＳ ゴシック" w:hAnsi="ＭＳ ゴシック" w:eastAsia="ＭＳ ゴシック"/>
          <w:sz w:val="21"/>
          <w:shd w:val="clear" w:color="auto" w:themeFill="background1" w:themeFillTint="FF" w:themeFillShade="FF"/>
        </w:rPr>
      </w:pPr>
    </w:p>
    <w:p>
      <w:pPr>
        <w:pStyle w:val="0"/>
        <w:rPr>
          <w:rFonts w:hint="default" w:ascii="ＭＳ ゴシック" w:hAnsi="ＭＳ ゴシック" w:eastAsia="ＭＳ ゴシック"/>
          <w:b w:val="1"/>
          <w:color w:val="auto"/>
          <w:sz w:val="24"/>
        </w:rPr>
      </w:pPr>
    </w:p>
    <w:p>
      <w:pPr>
        <w:pStyle w:val="0"/>
        <w:rPr>
          <w:rFonts w:hint="default" w:ascii="ＭＳ ゴシック" w:hAnsi="ＭＳ ゴシック" w:eastAsia="ＭＳ ゴシック"/>
          <w:b w:val="1"/>
          <w:color w:val="auto"/>
          <w:sz w:val="24"/>
        </w:rPr>
      </w:pPr>
    </w:p>
    <w:p>
      <w:pPr>
        <w:pStyle w:val="0"/>
        <w:rPr>
          <w:rFonts w:hint="default" w:ascii="ＭＳ ゴシック" w:hAnsi="ＭＳ ゴシック" w:eastAsia="ＭＳ ゴシック"/>
          <w:b w:val="1"/>
          <w:color w:val="auto"/>
          <w:sz w:val="24"/>
        </w:rPr>
      </w:pPr>
    </w:p>
    <w:p>
      <w:pPr>
        <w:pStyle w:val="0"/>
        <w:rPr>
          <w:rFonts w:hint="default" w:ascii="ＭＳ ゴシック" w:hAnsi="ＭＳ ゴシック" w:eastAsia="ＭＳ ゴシック"/>
          <w:b w:val="1"/>
          <w:color w:val="auto"/>
          <w:sz w:val="24"/>
        </w:rPr>
      </w:pPr>
    </w:p>
    <w:p>
      <w:pPr>
        <w:pStyle w:val="0"/>
        <w:rPr>
          <w:rFonts w:hint="default" w:ascii="ＭＳ ゴシック" w:hAnsi="ＭＳ ゴシック" w:eastAsia="ＭＳ ゴシック"/>
          <w:b w:val="1"/>
          <w:color w:val="auto"/>
          <w:sz w:val="24"/>
        </w:rPr>
      </w:pPr>
    </w:p>
    <w:p>
      <w:pPr>
        <w:pStyle w:val="0"/>
        <w:rPr>
          <w:rFonts w:hint="default" w:ascii="ＭＳ ゴシック" w:hAnsi="ＭＳ ゴシック" w:eastAsia="ＭＳ ゴシック"/>
          <w:b w:val="1"/>
          <w:color w:val="auto"/>
          <w:sz w:val="24"/>
        </w:rPr>
      </w:pPr>
    </w:p>
    <w:p>
      <w:pPr>
        <w:pStyle w:val="0"/>
        <w:rPr>
          <w:rFonts w:hint="default" w:ascii="ＭＳ ゴシック" w:hAnsi="ＭＳ ゴシック" w:eastAsia="ＭＳ ゴシック"/>
          <w:b w:val="1"/>
          <w:color w:val="auto"/>
          <w:sz w:val="24"/>
        </w:rPr>
      </w:pPr>
    </w:p>
    <w:p>
      <w:pPr>
        <w:pStyle w:val="0"/>
        <w:rPr>
          <w:rFonts w:hint="default" w:ascii="ＭＳ ゴシック" w:hAnsi="ＭＳ ゴシック" w:eastAsia="ＭＳ ゴシック"/>
          <w:b w:val="1"/>
          <w:color w:val="auto"/>
          <w:sz w:val="24"/>
        </w:rPr>
      </w:pPr>
    </w:p>
    <w:p>
      <w:pPr>
        <w:pStyle w:val="0"/>
        <w:rPr>
          <w:rFonts w:hint="default" w:ascii="ＭＳ ゴシック" w:hAnsi="ＭＳ ゴシック" w:eastAsia="ＭＳ ゴシック"/>
          <w:b w:val="1"/>
          <w:color w:val="auto"/>
          <w:sz w:val="24"/>
        </w:rPr>
      </w:pPr>
    </w:p>
    <w:p>
      <w:pPr>
        <w:pStyle w:val="0"/>
        <w:rPr>
          <w:rFonts w:hint="default" w:ascii="ＭＳ ゴシック" w:hAnsi="ＭＳ ゴシック" w:eastAsia="ＭＳ ゴシック"/>
          <w:b w:val="1"/>
          <w:color w:val="auto"/>
          <w:sz w:val="24"/>
        </w:rPr>
      </w:pPr>
    </w:p>
    <w:p>
      <w:pPr>
        <w:rPr>
          <w:rFonts w:hint="eastAsia" w:ascii="ＭＳ 明朝" w:hAnsi="ＭＳ 明朝" w:eastAsia="ＭＳ 明朝"/>
          <w:b w:val="0"/>
          <w:sz w:val="24"/>
        </w:rPr>
        <w:sectPr>
          <w:headerReference r:id="rId6" w:type="default"/>
          <w:footerReference r:id="rId8" w:type="even"/>
          <w:footerReference r:id="rId9" w:type="default"/>
          <w:footerReference r:id="rId7" w:type="first"/>
          <w:pgSz w:w="11906" w:h="16838"/>
          <w:pgMar w:top="1417" w:right="1417" w:bottom="1417" w:left="1417" w:header="851" w:footer="851" w:gutter="0"/>
          <w:pgBorders w:zOrder="front" w:display="allPages" w:offsetFrom="page"/>
          <w:cols w:space="720"/>
          <w:titlePg w:val="1"/>
          <w:textDirection w:val="lrTb"/>
          <w:docGrid w:type="lines" w:linePitch="340"/>
        </w:sectPr>
      </w:pPr>
    </w:p>
    <w:p>
      <w:pPr>
        <w:pStyle w:val="0"/>
        <w:rPr>
          <w:rFonts w:hint="default" w:ascii="ＭＳ ゴシック" w:hAnsi="ＭＳ ゴシック" w:eastAsia="ＭＳ ゴシック"/>
          <w:b w:val="1"/>
          <w:color w:val="auto"/>
          <w:sz w:val="21"/>
        </w:rPr>
      </w:pPr>
      <w:r>
        <w:rPr>
          <w:rFonts w:hint="eastAsia" w:ascii="ＭＳ ゴシック" w:hAnsi="ＭＳ ゴシック" w:eastAsia="ＭＳ ゴシック"/>
          <w:b w:val="0"/>
          <w:color w:val="auto"/>
          <w:sz w:val="21"/>
        </w:rPr>
        <w:t>別紙（審査基準）</w:t>
      </w:r>
    </w:p>
    <w:p>
      <w:pPr>
        <w:pStyle w:val="0"/>
        <w:rPr>
          <w:rFonts w:hint="default" w:ascii="ＭＳ ゴシック" w:hAnsi="ＭＳ ゴシック" w:eastAsia="ＭＳ ゴシック"/>
          <w:b w:val="1"/>
          <w:color w:val="auto"/>
          <w:sz w:val="21"/>
        </w:rPr>
      </w:pPr>
      <w:r>
        <w:rPr>
          <w:rFonts w:hint="eastAsia" w:ascii="ＭＳ 明朝" w:hAnsi="ＭＳ 明朝" w:eastAsia="ＭＳ 明朝"/>
          <w:b w:val="0"/>
          <w:color w:val="auto"/>
          <w:sz w:val="21"/>
        </w:rPr>
        <w:t>　</w:t>
      </w:r>
      <w:r>
        <w:rPr>
          <w:rFonts w:hint="eastAsia" w:ascii="ＭＳ ゴシック" w:hAnsi="ＭＳ ゴシック" w:eastAsia="ＭＳ ゴシック"/>
          <w:b w:val="0"/>
          <w:color w:val="auto"/>
          <w:sz w:val="21"/>
        </w:rPr>
        <w:t>以下の内容に留意して、提案してください。なお、様式は、必要に応じて伸縮、追加してください。</w:t>
      </w:r>
    </w:p>
    <w:tbl>
      <w:tblPr>
        <w:tblStyle w:val="11"/>
        <w:tblW w:w="9630" w:type="dxa"/>
        <w:tblInd w:w="2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Look w:firstRow="1" w:lastRow="0" w:firstColumn="1" w:lastColumn="0" w:noHBand="0" w:noVBand="1" w:val="04A0"/>
      </w:tblPr>
      <w:tblGrid>
        <w:gridCol w:w="600"/>
        <w:gridCol w:w="2521"/>
        <w:gridCol w:w="6509"/>
      </w:tblGrid>
      <w:tr>
        <w:trPr>
          <w:trHeight w:val="450" w:hRule="atLeast"/>
        </w:trPr>
        <w:tc>
          <w:tcPr>
            <w:tcW w:w="60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shd w:val="clear" w:color="auto" w:themeFill="accent1" w:themeFillTint="33" w:themeFillShade="FF"/>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番</w:t>
            </w:r>
            <w:r>
              <w:rPr>
                <w:rStyle w:val="41"/>
                <w:rFonts w:hint="eastAsia" w:ascii="ＭＳ ゴシック" w:hAnsi="ＭＳ ゴシック" w:eastAsia="ＭＳ ゴシック"/>
                <w:b w:val="0"/>
                <w:i w:val="0"/>
                <w:smallCaps w:val="0"/>
                <w:sz w:val="21"/>
              </w:rPr>
              <w:t>号</w:t>
            </w:r>
          </w:p>
        </w:tc>
        <w:tc>
          <w:tcPr>
            <w:tcW w:w="2521"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shd w:val="clear" w:color="auto" w:themeFill="accent1" w:themeFillTint="33" w:themeFillShade="FF"/>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審</w:t>
            </w:r>
            <w:r>
              <w:rPr>
                <w:rStyle w:val="41"/>
                <w:rFonts w:hint="eastAsia" w:ascii="ＭＳ ゴシック" w:hAnsi="ＭＳ ゴシック" w:eastAsia="ＭＳ ゴシック"/>
                <w:b w:val="0"/>
                <w:i w:val="0"/>
                <w:smallCaps w:val="0"/>
                <w:sz w:val="21"/>
              </w:rPr>
              <w:t>　査　項　目</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shd w:val="clear" w:color="auto" w:themeFill="accent1" w:themeFillTint="33" w:themeFillShade="FF"/>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評</w:t>
            </w:r>
            <w:r>
              <w:rPr>
                <w:rStyle w:val="41"/>
                <w:rFonts w:hint="eastAsia" w:ascii="ＭＳ ゴシック" w:hAnsi="ＭＳ ゴシック" w:eastAsia="ＭＳ ゴシック"/>
                <w:b w:val="0"/>
                <w:i w:val="0"/>
                <w:smallCaps w:val="0"/>
                <w:sz w:val="21"/>
              </w:rPr>
              <w:t>　価　項　目</w:t>
            </w:r>
          </w:p>
        </w:tc>
      </w:tr>
      <w:tr>
        <w:trPr>
          <w:trHeight w:val="450" w:hRule="atLeast"/>
        </w:trPr>
        <w:tc>
          <w:tcPr>
            <w:tcW w:w="600"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1</w:t>
            </w:r>
          </w:p>
        </w:tc>
        <w:tc>
          <w:tcPr>
            <w:tcW w:w="2521"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事業所運営の基本方針</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①</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事業所の運営方針について</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②</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利用者の家族及び地域との連携</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③</w:t>
            </w:r>
            <w:r>
              <w:rPr>
                <w:rStyle w:val="40"/>
                <w:rFonts w:hint="eastAsia" w:ascii="ＭＳ ゴシック" w:hAnsi="ＭＳ ゴシック" w:eastAsia="ＭＳ ゴシック"/>
                <w:b w:val="0"/>
                <w:i w:val="0"/>
                <w:smallCaps w:val="0"/>
                <w:sz w:val="21"/>
              </w:rPr>
              <w:t xml:space="preserve"> </w:t>
            </w:r>
            <w:r>
              <w:rPr>
                <w:rStyle w:val="41"/>
                <w:rFonts w:hint="eastAsia" w:ascii="ＭＳ ゴシック" w:hAnsi="ＭＳ ゴシック" w:eastAsia="ＭＳ ゴシック"/>
                <w:b w:val="0"/>
                <w:i w:val="0"/>
                <w:smallCaps w:val="0"/>
                <w:sz w:val="21"/>
              </w:rPr>
              <w:t>本公募に応募した理由</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④</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自己評価や外部評価及び情報の公開に関する考え方</w:t>
            </w:r>
          </w:p>
        </w:tc>
      </w:tr>
      <w:tr>
        <w:trPr>
          <w:trHeight w:val="450" w:hRule="atLeast"/>
        </w:trPr>
        <w:tc>
          <w:tcPr>
            <w:tcW w:w="600"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2</w:t>
            </w:r>
          </w:p>
        </w:tc>
        <w:tc>
          <w:tcPr>
            <w:tcW w:w="2521"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法</w:t>
            </w:r>
            <w:r>
              <w:rPr>
                <w:rStyle w:val="41"/>
                <w:rFonts w:hint="eastAsia" w:ascii="ＭＳ ゴシック" w:hAnsi="ＭＳ ゴシック" w:eastAsia="ＭＳ ゴシック"/>
                <w:b w:val="0"/>
                <w:i w:val="0"/>
                <w:smallCaps w:val="0"/>
                <w:sz w:val="21"/>
              </w:rPr>
              <w:t>令等の遵守</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①</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法令等の遵守についての考え方</w:t>
            </w:r>
            <w:r>
              <w:rPr>
                <w:rFonts w:hint="eastAsia" w:ascii="ＭＳ ゴシック" w:hAnsi="ＭＳ ゴシック" w:eastAsia="ＭＳ ゴシック"/>
                <w:b w:val="0"/>
                <w:i w:val="0"/>
                <w:smallCaps w:val="0"/>
                <w:sz w:val="21"/>
              </w:rPr>
              <w:t>(</w:t>
            </w:r>
            <w:r>
              <w:rPr>
                <w:rFonts w:hint="eastAsia" w:ascii="ＭＳ ゴシック" w:hAnsi="ＭＳ ゴシック" w:eastAsia="ＭＳ ゴシック"/>
                <w:b w:val="0"/>
                <w:i w:val="0"/>
                <w:smallCaps w:val="0"/>
                <w:sz w:val="21"/>
              </w:rPr>
              <w:t>労働関係法令を含む</w:t>
            </w:r>
            <w:r>
              <w:rPr>
                <w:rFonts w:hint="eastAsia" w:ascii="ＭＳ ゴシック" w:hAnsi="ＭＳ ゴシック" w:eastAsia="ＭＳ ゴシック"/>
                <w:b w:val="0"/>
                <w:i w:val="0"/>
                <w:smallCaps w:val="0"/>
                <w:sz w:val="21"/>
              </w:rPr>
              <w:t>)</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②</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個人情報保護についての考え方</w:t>
            </w:r>
            <w:r>
              <w:rPr>
                <w:rFonts w:hint="eastAsia" w:ascii="ＭＳ ゴシック" w:hAnsi="ＭＳ ゴシック" w:eastAsia="ＭＳ ゴシック"/>
                <w:b w:val="0"/>
                <w:i w:val="0"/>
                <w:smallCaps w:val="0"/>
                <w:sz w:val="21"/>
              </w:rPr>
              <w:t>(</w:t>
            </w:r>
            <w:r>
              <w:rPr>
                <w:rFonts w:hint="eastAsia" w:ascii="ＭＳ ゴシック" w:hAnsi="ＭＳ ゴシック" w:eastAsia="ＭＳ ゴシック"/>
                <w:b w:val="0"/>
                <w:i w:val="0"/>
                <w:smallCaps w:val="0"/>
                <w:sz w:val="21"/>
              </w:rPr>
              <w:t>従業員の守秘義務など</w:t>
            </w:r>
            <w:r>
              <w:rPr>
                <w:rFonts w:hint="eastAsia" w:ascii="ＭＳ ゴシック" w:hAnsi="ＭＳ ゴシック" w:eastAsia="ＭＳ ゴシック"/>
                <w:b w:val="0"/>
                <w:i w:val="0"/>
                <w:smallCaps w:val="0"/>
                <w:sz w:val="21"/>
              </w:rPr>
              <w:t>)</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③</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過去の実地指導の結果に対する取り組みについて</w:t>
            </w:r>
          </w:p>
        </w:tc>
      </w:tr>
      <w:tr>
        <w:trPr>
          <w:trHeight w:val="450" w:hRule="atLeast"/>
        </w:trPr>
        <w:tc>
          <w:tcPr>
            <w:tcW w:w="60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3</w:t>
            </w:r>
          </w:p>
        </w:tc>
        <w:tc>
          <w:tcPr>
            <w:tcW w:w="2521"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運</w:t>
            </w:r>
            <w:r>
              <w:rPr>
                <w:rStyle w:val="41"/>
                <w:rFonts w:hint="eastAsia" w:ascii="ＭＳ ゴシック" w:hAnsi="ＭＳ ゴシック" w:eastAsia="ＭＳ ゴシック"/>
                <w:b w:val="0"/>
                <w:i w:val="0"/>
                <w:smallCaps w:val="0"/>
                <w:sz w:val="21"/>
              </w:rPr>
              <w:t>営実績</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①</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事業を運営するに足りる実績・経験について</w:t>
            </w:r>
          </w:p>
        </w:tc>
      </w:tr>
      <w:tr>
        <w:trPr>
          <w:trHeight w:val="450" w:hRule="atLeast"/>
        </w:trPr>
        <w:tc>
          <w:tcPr>
            <w:tcW w:w="600"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4</w:t>
            </w:r>
          </w:p>
        </w:tc>
        <w:tc>
          <w:tcPr>
            <w:tcW w:w="2521"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人材確保・人材育成等</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①</w:t>
            </w:r>
            <w:r>
              <w:rPr>
                <w:rStyle w:val="40"/>
                <w:rFonts w:hint="eastAsia" w:ascii="ＭＳ ゴシック" w:hAnsi="ＭＳ ゴシック" w:eastAsia="ＭＳ ゴシック"/>
                <w:b w:val="0"/>
                <w:i w:val="0"/>
                <w:smallCaps w:val="0"/>
                <w:sz w:val="21"/>
              </w:rPr>
              <w:t xml:space="preserve"> </w:t>
            </w:r>
            <w:r>
              <w:rPr>
                <w:rStyle w:val="41"/>
                <w:rFonts w:hint="eastAsia" w:ascii="ＭＳ ゴシック" w:hAnsi="ＭＳ ゴシック" w:eastAsia="ＭＳ ゴシック"/>
                <w:b w:val="0"/>
                <w:i w:val="0"/>
                <w:smallCaps w:val="0"/>
                <w:sz w:val="21"/>
              </w:rPr>
              <w:t>人材確保の取り組みについて</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②</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従業員の育成・接遇に関する取り組みについて</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③</w:t>
            </w:r>
            <w:r>
              <w:rPr>
                <w:rStyle w:val="40"/>
                <w:rFonts w:hint="eastAsia" w:ascii="ＭＳ ゴシック" w:hAnsi="ＭＳ ゴシック" w:eastAsia="ＭＳ ゴシック"/>
                <w:b w:val="0"/>
                <w:i w:val="0"/>
                <w:smallCaps w:val="0"/>
                <w:sz w:val="21"/>
              </w:rPr>
              <w:t xml:space="preserve"> </w:t>
            </w:r>
            <w:r>
              <w:rPr>
                <w:rStyle w:val="41"/>
                <w:rFonts w:hint="eastAsia" w:ascii="ＭＳ ゴシック" w:hAnsi="ＭＳ ゴシック" w:eastAsia="ＭＳ ゴシック"/>
                <w:b w:val="0"/>
                <w:i w:val="0"/>
                <w:smallCaps w:val="0"/>
                <w:sz w:val="21"/>
              </w:rPr>
              <w:t>管理者に求める資質・経験について</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④</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働きやすい環境づくり</w:t>
            </w:r>
          </w:p>
        </w:tc>
      </w:tr>
      <w:tr>
        <w:trPr>
          <w:trHeight w:val="450" w:hRule="atLeast"/>
        </w:trPr>
        <w:tc>
          <w:tcPr>
            <w:tcW w:w="600"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5</w:t>
            </w:r>
          </w:p>
        </w:tc>
        <w:tc>
          <w:tcPr>
            <w:tcW w:w="2521"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運</w:t>
            </w:r>
            <w:r>
              <w:rPr>
                <w:rStyle w:val="41"/>
                <w:rFonts w:hint="eastAsia" w:ascii="ＭＳ ゴシック" w:hAnsi="ＭＳ ゴシック" w:eastAsia="ＭＳ ゴシック"/>
                <w:b w:val="0"/>
                <w:i w:val="0"/>
                <w:smallCaps w:val="0"/>
                <w:sz w:val="21"/>
              </w:rPr>
              <w:t>営管理</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①</w:t>
            </w:r>
            <w:r>
              <w:rPr>
                <w:rStyle w:val="40"/>
                <w:rFonts w:hint="eastAsia" w:ascii="ＭＳ ゴシック" w:hAnsi="ＭＳ ゴシック" w:eastAsia="ＭＳ ゴシック"/>
                <w:b w:val="0"/>
                <w:i w:val="0"/>
                <w:smallCaps w:val="0"/>
                <w:sz w:val="21"/>
              </w:rPr>
              <w:t xml:space="preserve"> </w:t>
            </w:r>
            <w:r>
              <w:rPr>
                <w:rStyle w:val="41"/>
                <w:rFonts w:hint="eastAsia" w:ascii="ＭＳ ゴシック" w:hAnsi="ＭＳ ゴシック" w:eastAsia="ＭＳ ゴシック"/>
                <w:b w:val="0"/>
                <w:i w:val="0"/>
                <w:smallCaps w:val="0"/>
                <w:sz w:val="21"/>
              </w:rPr>
              <w:t>危機管理体制について</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②</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事故防止・安全対策及び事故発生時の対応について</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③</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苦情処理のための体制について</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④</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災害対策・感染症対策</w:t>
            </w:r>
          </w:p>
        </w:tc>
      </w:tr>
      <w:tr>
        <w:trPr>
          <w:trHeight w:val="450" w:hRule="atLeast"/>
        </w:trPr>
        <w:tc>
          <w:tcPr>
            <w:tcW w:w="600" w:type="dxa"/>
            <w:vMerge w:val="restart"/>
            <w:tcBorders>
              <w:top w:val="single" w:color="000000" w:sz="8" w:space="0"/>
              <w:left w:val="single" w:color="000000" w:sz="8" w:space="0"/>
              <w:bottom w:val="nil"/>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6</w:t>
            </w:r>
          </w:p>
        </w:tc>
        <w:tc>
          <w:tcPr>
            <w:tcW w:w="2521" w:type="dxa"/>
            <w:vMerge w:val="restart"/>
            <w:tcBorders>
              <w:top w:val="single" w:color="000000" w:sz="8" w:space="0"/>
              <w:left w:val="single" w:color="000000" w:sz="8" w:space="0"/>
              <w:bottom w:val="nil"/>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利</w:t>
            </w:r>
            <w:r>
              <w:rPr>
                <w:rStyle w:val="41"/>
                <w:rFonts w:hint="eastAsia" w:ascii="ＭＳ ゴシック" w:hAnsi="ＭＳ ゴシック" w:eastAsia="ＭＳ ゴシック"/>
                <w:b w:val="0"/>
                <w:i w:val="0"/>
                <w:smallCaps w:val="0"/>
                <w:sz w:val="21"/>
              </w:rPr>
              <w:t>用者への対応</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①</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２４時間３６５日サービス提供の考え方について</w:t>
            </w:r>
          </w:p>
        </w:tc>
      </w:tr>
      <w:tr>
        <w:trPr>
          <w:trHeight w:val="450" w:hRule="atLeast"/>
        </w:trPr>
        <w:tc>
          <w:tcPr>
            <w:tcW w:w="280" w:type="dxa"/>
            <w:vMerge w:val="continue"/>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②</w:t>
            </w:r>
            <w:r>
              <w:rPr>
                <w:rStyle w:val="40"/>
                <w:rFonts w:hint="eastAsia" w:ascii="ＭＳ ゴシック" w:hAnsi="ＭＳ ゴシック" w:eastAsia="ＭＳ ゴシック"/>
                <w:b w:val="0"/>
                <w:i w:val="0"/>
                <w:smallCaps w:val="0"/>
                <w:sz w:val="21"/>
              </w:rPr>
              <w:t xml:space="preserve"> </w:t>
            </w:r>
            <w:r>
              <w:rPr>
                <w:rStyle w:val="41"/>
                <w:rFonts w:hint="eastAsia" w:ascii="ＭＳ ゴシック" w:hAnsi="ＭＳ ゴシック" w:eastAsia="ＭＳ ゴシック"/>
                <w:b w:val="0"/>
                <w:i w:val="0"/>
                <w:smallCaps w:val="0"/>
                <w:sz w:val="21"/>
              </w:rPr>
              <w:t>具体的な介護の方針について</w:t>
            </w:r>
          </w:p>
        </w:tc>
      </w:tr>
      <w:tr>
        <w:trPr>
          <w:trHeight w:val="450" w:hRule="atLeast"/>
        </w:trPr>
        <w:tc>
          <w:tcPr>
            <w:tcW w:w="280" w:type="dxa"/>
            <w:vMerge w:val="continue"/>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2521" w:type="dxa"/>
            <w:vMerge w:val="continue"/>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③</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利用者等への人権及び尊厳に対する考え方について</w:t>
            </w:r>
          </w:p>
          <w:p>
            <w:pPr>
              <w:pStyle w:val="0"/>
              <w:ind w:firstLine="315" w:firstLineChars="1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（身体拘束等の適正化の推進）</w:t>
            </w:r>
          </w:p>
        </w:tc>
      </w:tr>
      <w:tr>
        <w:trPr>
          <w:trHeight w:val="450" w:hRule="atLeast"/>
        </w:trPr>
        <w:tc>
          <w:tcPr>
            <w:tcW w:w="280" w:type="dxa"/>
            <w:vMerge w:val="continue"/>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④</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ターミナルケアに対する考え方について</w:t>
            </w:r>
          </w:p>
        </w:tc>
      </w:tr>
      <w:tr>
        <w:trPr>
          <w:trHeight w:val="450" w:hRule="atLeast"/>
        </w:trPr>
        <w:tc>
          <w:tcPr>
            <w:tcW w:w="280" w:type="dxa"/>
            <w:vMerge w:val="continue"/>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⑤</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認知症ケアに対する考え方について</w:t>
            </w:r>
          </w:p>
        </w:tc>
      </w:tr>
      <w:tr>
        <w:trPr>
          <w:trHeight w:val="450" w:hRule="atLeast"/>
        </w:trPr>
        <w:tc>
          <w:tcPr>
            <w:tcW w:w="280" w:type="dxa"/>
            <w:vMerge w:val="continue"/>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⑥</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配置するオペレーターの職種とその考え方について</w:t>
            </w:r>
          </w:p>
        </w:tc>
      </w:tr>
      <w:tr>
        <w:trPr>
          <w:trHeight w:val="450" w:hRule="atLeast"/>
        </w:trPr>
        <w:tc>
          <w:tcPr>
            <w:tcW w:w="600"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7</w:t>
            </w:r>
          </w:p>
        </w:tc>
        <w:tc>
          <w:tcPr>
            <w:tcW w:w="2521"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事業の適正な運営</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①</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サービスの質の向上について</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②</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介護・医療連携推進会議の設置に関する考え方について</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eastAsia"/>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eastAsia"/>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③</w:t>
            </w:r>
            <w:r>
              <w:rPr>
                <w:rStyle w:val="40"/>
                <w:rFonts w:hint="eastAsia" w:ascii="ＭＳ ゴシック" w:hAnsi="ＭＳ ゴシック" w:eastAsia="ＭＳ ゴシック"/>
                <w:b w:val="0"/>
                <w:i w:val="0"/>
                <w:smallCaps w:val="0"/>
                <w:sz w:val="21"/>
              </w:rPr>
              <w:t xml:space="preserve"> </w:t>
            </w:r>
            <w:r>
              <w:rPr>
                <w:rStyle w:val="41"/>
                <w:rFonts w:hint="eastAsia" w:ascii="ＭＳ ゴシック" w:hAnsi="ＭＳ ゴシック" w:eastAsia="ＭＳ ゴシック"/>
                <w:b w:val="0"/>
                <w:i w:val="0"/>
                <w:smallCaps w:val="0"/>
                <w:sz w:val="21"/>
              </w:rPr>
              <w:t>利用者の確保に関する考えについて</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eastAsia"/>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eastAsia"/>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④</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他のサービス事業者及び関係機関との連携について</w:t>
            </w:r>
          </w:p>
        </w:tc>
      </w:tr>
    </w:tbl>
    <w:p>
      <w:pPr>
        <w:pStyle w:val="0"/>
        <w:rPr>
          <w:rFonts w:hint="default" w:ascii="ＭＳ ゴシック" w:hAnsi="ＭＳ ゴシック" w:eastAsia="ＭＳ ゴシック"/>
          <w:b w:val="1"/>
          <w:sz w:val="21"/>
        </w:rPr>
      </w:pPr>
    </w:p>
    <w:sectPr>
      <w:type w:val="continuous"/>
      <w:pgSz w:w="11906" w:h="16838"/>
      <w:pgMar w:top="1134" w:right="1134" w:bottom="1134" w:left="1134" w:header="850" w:footer="624" w:gutter="0"/>
      <w:pgBorders w:zOrder="front" w:display="allPages" w:offsetFrom="page"/>
      <w:cols w:space="720"/>
      <w:titlePg w:val="1"/>
      <w:textDirection w:val="lrTb"/>
      <w:docGrid w:type="lines" w:linePitch="34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BIZ UDゴシック">
    <w:panose1 w:val="00000000000000000000"/>
    <w:charset w:val="80"/>
    <w:family w:val="modern"/>
    <w:pitch w:val="fixed"/>
    <w:sig w:usb0="00000000" w:usb1="00000000" w:usb2="00000000" w:usb3="00000000" w:csb0="00020001" w:csb1="00000000"/>
  </w:font>
  <w:font w:name="BIZ UDPゴシック">
    <w:panose1 w:val="00000000000000000000"/>
    <w:charset w:val="80"/>
    <w:family w:val="modern"/>
    <w:pitch w:val="fixed"/>
    <w:sig w:usb0="00000000" w:usb1="00000000" w:usb2="00000000" w:usb3="00000000" w:csb0="00020001" w:csb1="00000000"/>
  </w:font>
  <w:font w:name="HG丸ｺﾞｼｯｸM-PRO">
    <w:panose1 w:val="00000000000000000000"/>
    <w:charset w:val="80"/>
    <w:family w:val="moder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 w:name="BIZ UDゴシック">
    <w:panose1 w:val="00000800000000000000"/>
    <w:charset w:val="80"/>
    <w:family w:val="modern"/>
    <w:pitch w:val="fixed"/>
    <w:sig w:usb0="00000000" w:usb1="00000000" w:usb2="00000000" w:usb3="00000000" w:csb0="00020001"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eastAsia"/>
      </w:rPr>
      <w:alias w:val=""/>
      <w:tag w:val=""/>
      <w:lock w:val="unlocked"/>
      <w:docPartObj>
        <w:docPartGallery w:val="Page Numbers (Bottom of Page)"/>
        <w:docPartUnique/>
      </w:docPartObj>
    </w:sdtPr>
    <w:sdtEndPr>
      <w:rPr>
        <w:rFonts w:hint="eastAsia"/>
      </w:rPr>
    </w:sdtEndPr>
    <w:sdtContent>
      <w:p>
        <w:pPr>
          <w:pStyle w:val="0"/>
          <w:jc w:val="center"/>
          <w:rPr>
            <w:rFonts w:hint="eastAsia"/>
          </w:rPr>
        </w:pPr>
        <w:r>
          <w:rPr>
            <w:rFonts w:hint="eastAsia"/>
          </w:rPr>
          <w:fldChar w:fldCharType="begin"/>
        </w:r>
        <w:r>
          <w:rPr>
            <w:rFonts w:hint="eastAsia"/>
          </w:rPr>
          <w:instrText xml:space="preserve">PAGE  \* MERGEFORMAT </w:instrText>
        </w:r>
        <w:r>
          <w:rPr>
            <w:rFonts w:hint="eastAsia"/>
          </w:rPr>
          <w:fldChar w:fldCharType="separate"/>
        </w:r>
        <w:r>
          <w:rPr>
            <w:rStyle w:val="22"/>
            <w:rFonts w:hint="eastAsia"/>
          </w:rPr>
          <w:t>1</w:t>
        </w:r>
        <w:r>
          <w:rPr>
            <w:rFonts w:hint="eastAsia"/>
          </w:rPr>
          <w:fldChar w:fldCharType="end"/>
        </w:r>
      </w:p>
    </w:sdtContent>
  </w:sdt>
  <w:p>
    <w:pPr>
      <w:pStyle w:val="0"/>
      <w:rPr>
        <w:rFonts w:hint="eastAsia"/>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74"/>
      <w:rPr>
        <w:rStyle w:val="22"/>
        <w:rFonts w:hint="default"/>
      </w:rPr>
    </w:pPr>
    <w:r>
      <w:rPr>
        <w:rFonts w:hint="eastAsia"/>
      </w:rPr>
      <w:fldChar w:fldCharType="begin"/>
    </w:r>
    <w:r>
      <w:rPr>
        <w:rFonts w:hint="eastAsia"/>
      </w:rPr>
      <w:instrText xml:space="preserve">PAGE  \* MERGEFORMAT </w:instrText>
    </w:r>
    <w:r>
      <w:rPr>
        <w:rFonts w:hint="eastAsia"/>
      </w:rPr>
      <w:fldChar w:fldCharType="end"/>
    </w:r>
  </w:p>
  <w:p>
    <w:pPr>
      <w:pStyle w:val="21"/>
      <w:rPr>
        <w:rFonts w:hint="default"/>
      </w:rPr>
    </w:pP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74"/>
      <w:rPr>
        <w:rStyle w:val="22"/>
        <w:rFonts w:hint="default"/>
      </w:rPr>
    </w:pPr>
    <w:r>
      <w:rPr>
        <w:rFonts w:hint="eastAsia"/>
      </w:rPr>
      <w:fldChar w:fldCharType="begin"/>
    </w:r>
    <w:r>
      <w:rPr>
        <w:rFonts w:hint="eastAsia"/>
      </w:rPr>
      <w:instrText xml:space="preserve">PAGE  \* MERGEFORMAT </w:instrText>
    </w:r>
    <w:r>
      <w:rPr>
        <w:rFonts w:hint="eastAsia"/>
      </w:rPr>
      <w:fldChar w:fldCharType="separate"/>
    </w:r>
    <w:r>
      <w:rPr>
        <w:rStyle w:val="22"/>
        <w:rFonts w:hint="default"/>
      </w:rPr>
      <w:t>4</w:t>
    </w:r>
    <w:r>
      <w:rPr>
        <w:rFonts w:hint="eastAsia"/>
      </w:rPr>
      <w:fldChar w:fldCharType="end"/>
    </w:r>
  </w:p>
  <w:p>
    <w:pPr>
      <w:pStyle w:val="21"/>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6DF85F00"/>
    <w:lvl w:ilvl="0" w:tplc="FFFFFFFF">
      <w:numFmt w:val="bullet"/>
      <w:lvlText w:val=""/>
      <w:lvlJc w:val="left"/>
      <w:pPr>
        <w:ind w:left="440" w:hanging="440"/>
      </w:pPr>
      <w:rPr>
        <w:rFonts w:hint="default" w:ascii="Wingdings" w:hAnsi="Wingdings"/>
        <w:color w:val="808080" w:themeColor="background1" w:themeShade="80"/>
        <w:sz w:val="22"/>
      </w:rPr>
    </w:lvl>
    <w:lvl w:ilvl="1" w:tplc="FFFFFFFF">
      <w:numFmt w:val="bullet"/>
      <w:lvlText w:val=""/>
      <w:lvlJc w:val="left"/>
      <w:pPr>
        <w:ind w:left="880" w:hanging="440"/>
      </w:pPr>
      <w:rPr>
        <w:rFonts w:hint="default" w:ascii="Wingdings" w:hAnsi="Wingdings"/>
      </w:rPr>
    </w:lvl>
    <w:lvl w:ilvl="2" w:tplc="FFFFFFFF">
      <w:numFmt w:val="bullet"/>
      <w:lvlText w:val=""/>
      <w:lvlJc w:val="left"/>
      <w:pPr>
        <w:ind w:left="1320" w:hanging="440"/>
      </w:pPr>
      <w:rPr>
        <w:rFonts w:hint="default" w:ascii="Wingdings" w:hAnsi="Wingdings"/>
      </w:rPr>
    </w:lvl>
    <w:lvl w:ilvl="3" w:tplc="E946BEE0">
      <w:numFmt w:val="bullet"/>
      <w:pStyle w:val="35"/>
      <w:lvlText w:val=""/>
      <w:lvlJc w:val="left"/>
      <w:pPr>
        <w:ind w:left="440" w:hanging="440"/>
      </w:pPr>
      <w:rPr>
        <w:rFonts w:hint="default" w:ascii="Wingdings" w:hAnsi="Wingdings"/>
        <w:color w:val="808080" w:themeColor="background1" w:themeShade="80"/>
        <w:sz w:val="22"/>
      </w:rPr>
    </w:lvl>
    <w:lvl w:ilvl="4" w:tplc="FFFFFFFF">
      <w:numFmt w:val="bullet"/>
      <w:lvlText w:val=""/>
      <w:lvlJc w:val="left"/>
      <w:pPr>
        <w:ind w:left="2200" w:hanging="440"/>
      </w:pPr>
      <w:rPr>
        <w:rFonts w:hint="default" w:ascii="Wingdings" w:hAnsi="Wingdings"/>
      </w:rPr>
    </w:lvl>
    <w:lvl w:ilvl="5" w:tplc="FFFFFFFF">
      <w:numFmt w:val="bullet"/>
      <w:lvlText w:val=""/>
      <w:lvlJc w:val="left"/>
      <w:pPr>
        <w:ind w:left="2640" w:hanging="440"/>
      </w:pPr>
      <w:rPr>
        <w:rFonts w:hint="default" w:ascii="Wingdings" w:hAnsi="Wingdings"/>
      </w:rPr>
    </w:lvl>
    <w:lvl w:ilvl="6" w:tplc="FFFFFFFF">
      <w:numFmt w:val="bullet"/>
      <w:lvlText w:val=""/>
      <w:lvlJc w:val="left"/>
      <w:pPr>
        <w:ind w:left="3080" w:hanging="440"/>
      </w:pPr>
      <w:rPr>
        <w:rFonts w:hint="default" w:ascii="Wingdings" w:hAnsi="Wingdings"/>
      </w:rPr>
    </w:lvl>
    <w:lvl w:ilvl="7" w:tplc="FFFFFFFF">
      <w:numFmt w:val="bullet"/>
      <w:lvlText w:val=""/>
      <w:lvlJc w:val="left"/>
      <w:pPr>
        <w:ind w:left="3520" w:hanging="440"/>
      </w:pPr>
      <w:rPr>
        <w:rFonts w:hint="default" w:ascii="Wingdings" w:hAnsi="Wingdings"/>
      </w:rPr>
    </w:lvl>
    <w:lvl w:ilvl="8" w:tplc="FFFFFFFF">
      <w:numFmt w:val="bullet"/>
      <w:lvlText w:val=""/>
      <w:lvlJc w:val="left"/>
      <w:pPr>
        <w:ind w:left="3960" w:hanging="440"/>
      </w:pPr>
      <w:rPr>
        <w:rFonts w:hint="default"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efaultTableStyle w:val="44"/>
  <w:drawingGridHorizontalSpacing w:val="210"/>
  <w:drawingGridVerticalSpacing w:val="34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paragraph" w:styleId="1">
    <w:name w:val="heading 1"/>
    <w:basedOn w:val="0"/>
    <w:next w:val="0"/>
    <w:link w:val="30"/>
    <w:uiPriority w:val="0"/>
    <w:qFormat/>
    <w:pPr>
      <w:keepNext w:val="1"/>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both"/>
      <w:outlineLvl w:val="0"/>
      <w15:collapsed w:val="0"/>
    </w:pPr>
    <w:rPr>
      <w:rFonts w:asciiTheme="majorHAnsi" w:hAnsiTheme="majorHAnsi" w:eastAsiaTheme="majorEastAsia"/>
      <w:dstrike w:val="0"/>
      <w:color w:val="auto"/>
      <w:w w:val="100"/>
      <w:sz w:val="24"/>
      <w:highlight w:val="none"/>
      <w:u w:val="none" w:color="auto"/>
      <w:bdr w:val="none" w:color="auto" w:sz="0" w:space="0"/>
      <w:shd w:val="clear" w:color="auto" w:fill="auto"/>
      <w:vertAlign w:val="baseline"/>
      <w:em w:val="none"/>
    </w:rPr>
  </w:style>
  <w:style w:type="paragraph" w:styleId="3">
    <w:name w:val="heading 3"/>
    <w:basedOn w:val="0"/>
    <w:next w:val="18"/>
    <w:link w:val="0"/>
    <w:uiPriority w:val="0"/>
    <w:qFormat/>
    <w:pPr>
      <w:keepNext w:val="1"/>
      <w:autoSpaceDE w:val="0"/>
      <w:autoSpaceDN w:val="0"/>
      <w:ind w:left="100" w:leftChars="100"/>
      <w:outlineLvl w:val="2"/>
    </w:pPr>
    <w:rPr>
      <w:rFonts w:ascii="ＭＳ ゴシック" w:hAnsi="ＭＳ ゴシック" w:eastAsia="ＭＳ ゴシック"/>
      <w:sz w:val="28"/>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0"/>
    <w:uiPriority w:val="0"/>
    <w:pPr>
      <w:jc w:val="center"/>
    </w:pPr>
    <w:rPr>
      <w:rFonts w:ascii="ＭＳ Ｐゴシック" w:hAnsi="ＭＳ Ｐゴシック" w:eastAsia="ＭＳ Ｐゴシック"/>
      <w:sz w:val="22"/>
    </w:rPr>
  </w:style>
  <w:style w:type="paragraph" w:styleId="17">
    <w:name w:val="Closing"/>
    <w:basedOn w:val="0"/>
    <w:next w:val="17"/>
    <w:link w:val="0"/>
    <w:uiPriority w:val="0"/>
    <w:pPr>
      <w:jc w:val="right"/>
    </w:pPr>
    <w:rPr>
      <w:rFonts w:ascii="ＭＳ Ｐゴシック" w:hAnsi="ＭＳ Ｐゴシック" w:eastAsia="ＭＳ Ｐゴシック"/>
      <w:sz w:val="22"/>
    </w:rPr>
  </w:style>
  <w:style w:type="paragraph" w:styleId="18" w:customStyle="1">
    <w:name w:val="標準３"/>
    <w:basedOn w:val="0"/>
    <w:next w:val="18"/>
    <w:link w:val="0"/>
    <w:uiPriority w:val="0"/>
    <w:pPr>
      <w:autoSpaceDE w:val="0"/>
      <w:autoSpaceDN w:val="0"/>
      <w:ind w:left="300" w:leftChars="300"/>
    </w:pPr>
    <w:rPr>
      <w:rFonts w:ascii="ＭＳ 明朝" w:hAnsi="ＭＳ 明朝"/>
      <w:sz w:val="24"/>
    </w:rPr>
  </w:style>
  <w:style w:type="paragraph" w:styleId="19" w:customStyle="1">
    <w:name w:val="図表"/>
    <w:basedOn w:val="0"/>
    <w:next w:val="19"/>
    <w:link w:val="0"/>
    <w:uiPriority w:val="0"/>
    <w:pPr>
      <w:autoSpaceDE w:val="0"/>
      <w:autoSpaceDN w:val="0"/>
      <w:ind w:left="40" w:leftChars="40" w:right="40" w:rightChars="40"/>
      <w:jc w:val="center"/>
    </w:pPr>
    <w:rPr>
      <w:rFonts w:ascii="ＭＳ ゴシック" w:hAnsi="ＭＳ ゴシック" w:eastAsia="ＭＳ ゴシック"/>
      <w:sz w:val="22"/>
    </w:rPr>
  </w:style>
  <w:style w:type="character" w:styleId="20">
    <w:name w:val="Hyperlink"/>
    <w:next w:val="20"/>
    <w:link w:val="0"/>
    <w:uiPriority w:val="0"/>
    <w:rPr>
      <w:color w:val="0000FF"/>
      <w:u w:val="single" w:color="auto"/>
    </w:rPr>
  </w:style>
  <w:style w:type="paragraph" w:styleId="21">
    <w:name w:val="footer"/>
    <w:basedOn w:val="0"/>
    <w:next w:val="21"/>
    <w:link w:val="0"/>
    <w:uiPriority w:val="0"/>
    <w:pPr>
      <w:tabs>
        <w:tab w:val="center" w:leader="none" w:pos="4252"/>
        <w:tab w:val="right" w:leader="none" w:pos="8504"/>
      </w:tabs>
      <w:snapToGrid w:val="0"/>
    </w:pPr>
  </w:style>
  <w:style w:type="character" w:styleId="22">
    <w:name w:val="page number"/>
    <w:basedOn w:val="10"/>
    <w:next w:val="22"/>
    <w:link w:val="0"/>
    <w:uiPriority w:val="0"/>
  </w:style>
  <w:style w:type="paragraph" w:styleId="23">
    <w:name w:val="header"/>
    <w:basedOn w:val="0"/>
    <w:next w:val="23"/>
    <w:link w:val="0"/>
    <w:uiPriority w:val="0"/>
    <w:pPr>
      <w:tabs>
        <w:tab w:val="center" w:leader="none" w:pos="4252"/>
        <w:tab w:val="right" w:leader="none" w:pos="8504"/>
      </w:tabs>
      <w:snapToGrid w:val="0"/>
    </w:pPr>
  </w:style>
  <w:style w:type="paragraph" w:styleId="24">
    <w:name w:val="Balloon Text"/>
    <w:basedOn w:val="0"/>
    <w:next w:val="24"/>
    <w:link w:val="25"/>
    <w:uiPriority w:val="0"/>
    <w:semiHidden/>
    <w:rPr>
      <w:rFonts w:ascii="Arial" w:hAnsi="Arial" w:eastAsia="ＭＳ ゴシック"/>
      <w:sz w:val="18"/>
    </w:rPr>
  </w:style>
  <w:style w:type="character" w:styleId="25" w:customStyle="1">
    <w:name w:val="吹き出し (文字)"/>
    <w:next w:val="25"/>
    <w:link w:val="24"/>
    <w:uiPriority w:val="0"/>
    <w:rPr>
      <w:rFonts w:ascii="Arial" w:hAnsi="Arial" w:eastAsia="ＭＳ ゴシック"/>
      <w:kern w:val="2"/>
      <w:sz w:val="18"/>
    </w:rPr>
  </w:style>
  <w:style w:type="character" w:styleId="26">
    <w:name w:val="footnote reference"/>
    <w:basedOn w:val="10"/>
    <w:next w:val="26"/>
    <w:link w:val="0"/>
    <w:uiPriority w:val="0"/>
    <w:semiHidden/>
    <w:rPr>
      <w:vertAlign w:val="superscript"/>
    </w:rPr>
  </w:style>
  <w:style w:type="character" w:styleId="27">
    <w:name w:val="endnote reference"/>
    <w:basedOn w:val="10"/>
    <w:next w:val="27"/>
    <w:link w:val="0"/>
    <w:uiPriority w:val="0"/>
    <w:semiHidden/>
    <w:rPr>
      <w:vertAlign w:val="superscript"/>
    </w:rPr>
  </w:style>
  <w:style w:type="paragraph" w:styleId="28" w:customStyle="1">
    <w:name w:val="基本"/>
    <w:basedOn w:val="0"/>
    <w:next w:val="28"/>
    <w:link w:val="29"/>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both"/>
      <w:outlineLvl w:val="9"/>
    </w:pPr>
    <w:rPr>
      <w:rFonts w:ascii="ＭＳ ゴシック" w:hAnsi="ＭＳ ゴシック" w:eastAsia="ＭＳ ゴシック"/>
      <w:dstrike w:val="0"/>
      <w:color w:val="000000"/>
      <w:w w:val="100"/>
      <w:sz w:val="21"/>
      <w:highlight w:val="none"/>
      <w:u w:val="none" w:color="auto"/>
      <w:bdr w:val="none" w:color="auto" w:sz="0" w:space="0"/>
      <w:shd w:val="clear" w:color="auto" w:fill="auto"/>
      <w:vertAlign w:val="baseline"/>
      <w:em w:val="none"/>
    </w:rPr>
  </w:style>
  <w:style w:type="character" w:styleId="29" w:customStyle="1">
    <w:name w:val="基本 (文字)"/>
    <w:basedOn w:val="10"/>
    <w:next w:val="29"/>
    <w:link w:val="28"/>
    <w:uiPriority w:val="0"/>
    <w:rPr>
      <w:rFonts w:ascii="ＭＳ ゴシック" w:hAnsi="ＭＳ ゴシック" w:eastAsia="ＭＳ ゴシック"/>
      <w:color w:val="000000"/>
    </w:rPr>
  </w:style>
  <w:style w:type="character" w:styleId="30" w:customStyle="1">
    <w:name w:val="見出し 1 (文字)"/>
    <w:basedOn w:val="10"/>
    <w:next w:val="30"/>
    <w:link w:val="1"/>
    <w:uiPriority w:val="0"/>
    <w:rPr>
      <w:rFonts w:asciiTheme="majorHAnsi" w:hAnsiTheme="majorHAnsi" w:eastAsiaTheme="majorEastAsia"/>
      <w:sz w:val="24"/>
    </w:rPr>
  </w:style>
  <w:style w:type="paragraph" w:styleId="31" w:customStyle="1">
    <w:name w:val="(1)"/>
    <w:basedOn w:val="1"/>
    <w:next w:val="31"/>
    <w:link w:val="32"/>
    <w:uiPriority w:val="0"/>
    <w:qFormat/>
    <w:pPr>
      <w:spacing w:after="66" w:afterLines="20" w:afterAutospacing="0" w:line="440" w:lineRule="exact"/>
      <w:ind w:left="220" w:leftChars="100"/>
    </w:pPr>
    <w:rPr>
      <w:rFonts w:ascii="BIZ UDPゴシック" w:hAnsi="BIZ UDPゴシック" w:eastAsia="BIZ UDPゴシック"/>
      <w:b w:val="1"/>
      <w:sz w:val="28"/>
    </w:rPr>
  </w:style>
  <w:style w:type="character" w:styleId="32" w:customStyle="1">
    <w:name w:val="(1) (文字)"/>
    <w:basedOn w:val="30"/>
    <w:next w:val="32"/>
    <w:link w:val="31"/>
    <w:uiPriority w:val="0"/>
    <w:rPr>
      <w:rFonts w:ascii="BIZ UDPゴシック" w:hAnsi="BIZ UDPゴシック" w:eastAsia="BIZ UDPゴシック"/>
      <w:b w:val="1"/>
      <w:sz w:val="28"/>
    </w:rPr>
  </w:style>
  <w:style w:type="paragraph" w:styleId="33">
    <w:name w:val="List Paragraph"/>
    <w:basedOn w:val="0"/>
    <w:next w:val="33"/>
    <w:link w:val="34"/>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840" w:leftChars="400" w:rightChars="0" w:firstLineChars="0"/>
      <w:contextualSpacing w:val="0"/>
      <w:mirrorIndents w:val="0"/>
      <w:jc w:val="both"/>
      <w:outlineLvl w:val="9"/>
      <w15:collapsed w:val="0"/>
    </w:pPr>
    <w:rPr>
      <w:rFonts w:ascii="HG丸ｺﾞｼｯｸM-PRO" w:hAnsi="HG丸ｺﾞｼｯｸM-PRO" w:eastAsia="HG丸ｺﾞｼｯｸM-PRO"/>
      <w:dstrike w:val="0"/>
      <w:color w:val="auto"/>
      <w:w w:val="100"/>
      <w:sz w:val="22"/>
      <w:highlight w:val="none"/>
      <w:u w:val="none" w:color="auto"/>
      <w:bdr w:val="none" w:color="auto" w:sz="0" w:space="0"/>
      <w:shd w:val="clear" w:color="auto" w:fill="auto"/>
      <w:vertAlign w:val="baseline"/>
      <w:em w:val="none"/>
    </w:rPr>
  </w:style>
  <w:style w:type="character" w:styleId="34" w:customStyle="1">
    <w:name w:val="リスト段落 (文字)"/>
    <w:next w:val="34"/>
    <w:link w:val="33"/>
    <w:uiPriority w:val="0"/>
    <w:rPr>
      <w:rFonts w:ascii="HG丸ｺﾞｼｯｸM-PRO" w:hAnsi="HG丸ｺﾞｼｯｸM-PRO" w:eastAsia="HG丸ｺﾞｼｯｸM-PRO"/>
      <w:sz w:val="22"/>
    </w:rPr>
  </w:style>
  <w:style w:type="paragraph" w:styleId="35" w:customStyle="1">
    <w:name w:val="箇条書き3"/>
    <w:basedOn w:val="33"/>
    <w:next w:val="35"/>
    <w:link w:val="36"/>
    <w:uiPriority w:val="0"/>
    <w:qFormat/>
    <w:pPr>
      <w:numPr>
        <w:ilvl w:val="3"/>
        <w:numId w:val="1"/>
      </w:numPr>
      <w:autoSpaceDE w:val="0"/>
      <w:autoSpaceDN w:val="0"/>
      <w:spacing w:line="380" w:lineRule="exact"/>
      <w:ind w:left="1102" w:leftChars="300" w:hanging="442"/>
    </w:pPr>
    <w:rPr>
      <w:rFonts w:ascii="BIZ UDゴシック" w:hAnsi="BIZ UDゴシック" w:eastAsia="BIZ UDゴシック"/>
    </w:rPr>
  </w:style>
  <w:style w:type="character" w:styleId="36" w:customStyle="1">
    <w:name w:val="箇条書き3 (文字)"/>
    <w:basedOn w:val="34"/>
    <w:next w:val="36"/>
    <w:link w:val="35"/>
    <w:uiPriority w:val="0"/>
    <w:rPr>
      <w:rFonts w:ascii="BIZ UDゴシック" w:hAnsi="BIZ UDゴシック" w:eastAsia="BIZ UDゴシック"/>
      <w:sz w:val="22"/>
    </w:rPr>
  </w:style>
  <w:style w:type="paragraph" w:styleId="37" w:customStyle="1">
    <w:name w:val="箇条書き2"/>
    <w:basedOn w:val="35"/>
    <w:next w:val="37"/>
    <w:link w:val="38"/>
    <w:uiPriority w:val="0"/>
    <w:qFormat/>
    <w:pPr>
      <w:ind w:left="882" w:leftChars="200"/>
    </w:pPr>
  </w:style>
  <w:style w:type="character" w:styleId="38" w:customStyle="1">
    <w:name w:val="箇条書き2 (文字)"/>
    <w:basedOn w:val="36"/>
    <w:next w:val="38"/>
    <w:link w:val="37"/>
    <w:uiPriority w:val="0"/>
    <w:rPr>
      <w:rFonts w:ascii="BIZ UDゴシック" w:hAnsi="BIZ UDゴシック" w:eastAsia="BIZ UDゴシック"/>
      <w:sz w:val="22"/>
    </w:rPr>
  </w:style>
  <w:style w:type="character" w:styleId="39" w:customStyle="1">
    <w:name w:val="図表 (文字)"/>
    <w:basedOn w:val="10"/>
    <w:next w:val="39"/>
    <w:link w:val="19"/>
    <w:uiPriority w:val="0"/>
    <w:rPr>
      <w:rFonts w:ascii="BIZ UDPゴシック" w:hAnsi="BIZ UDPゴシック" w:eastAsia="BIZ UDPゴシック"/>
      <w:color w:val="000000" w:themeColor="text1"/>
    </w:rPr>
  </w:style>
  <w:style w:type="character" w:styleId="40" w:customStyle="1">
    <w:name w:val="font11"/>
    <w:basedOn w:val="10"/>
    <w:next w:val="40"/>
    <w:link w:val="0"/>
    <w:uiPriority w:val="0"/>
    <w:qFormat/>
    <w:rPr>
      <w:rFonts w:ascii="HG丸ｺﾞｼｯｸM-PRO" w:hAnsi="HG丸ｺﾞｼｯｸM-PRO" w:eastAsia="HG丸ｺﾞｼｯｸM-PRO"/>
      <w:sz w:val="16"/>
    </w:rPr>
  </w:style>
  <w:style w:type="character" w:styleId="41" w:customStyle="1">
    <w:name w:val="font12"/>
    <w:basedOn w:val="10"/>
    <w:next w:val="41"/>
    <w:link w:val="0"/>
    <w:uiPriority w:val="0"/>
    <w:qFormat/>
    <w:rPr>
      <w:rFonts w:ascii="ＭＳ ゴシック" w:hAnsi="ＭＳ ゴシック" w:eastAsia="ＭＳ ゴシック"/>
      <w:sz w:val="22"/>
    </w:rPr>
  </w:style>
  <w:style w:type="table" w:styleId="42">
    <w:name w:val="Table Grid"/>
    <w:basedOn w:val="11"/>
    <w:next w:val="42"/>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3" w:customStyle="1">
    <w:name w:val="人件費1"/>
    <w:basedOn w:val="11"/>
    <w:next w:val="43"/>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4" w:customStyle="1">
    <w:name w:val="表（シンプル 1）"/>
    <w:basedOn w:val="11"/>
    <w:next w:val="44"/>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footer" Target="footer3.xml" /><Relationship Id="rId10" Type="http://schemas.openxmlformats.org/officeDocument/2006/relationships/image" Target="media/image1.png" /><Relationship Id="rId11"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1967</TotalTime>
  <Pages>12</Pages>
  <Words>1056</Words>
  <Characters>11143</Characters>
  <Application>JUST Note</Application>
  <Lines>36836</Lines>
  <Paragraphs>1051</Paragraphs>
  <CharactersWithSpaces>11397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令和４年度地域密着型サービス整備事業者募集要項（ＧＨ）</dc:title>
  <dc:creator>廿日市市</dc:creator>
  <cp:lastModifiedBy>Ohkubo Masahiro</cp:lastModifiedBy>
  <cp:lastPrinted>2024-03-26T06:28:05Z</cp:lastPrinted>
  <dcterms:created xsi:type="dcterms:W3CDTF">2019-12-01T23:56:00Z</dcterms:created>
  <dcterms:modified xsi:type="dcterms:W3CDTF">2025-10-12T03:32:28Z</dcterms:modified>
  <cp:revision>121</cp:revision>
</cp:coreProperties>
</file>